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0E42" w14:textId="77777777" w:rsidR="00F53B39" w:rsidRPr="008536A8" w:rsidRDefault="00863BD2" w:rsidP="00CA6025">
      <w:pPr>
        <w:pStyle w:val="Header"/>
        <w:tabs>
          <w:tab w:val="clear" w:pos="4320"/>
          <w:tab w:val="clear" w:pos="8640"/>
          <w:tab w:val="left" w:pos="1080"/>
        </w:tabs>
        <w:rPr>
          <w:rFonts w:ascii="Times New Roman" w:hAnsi="Times New Roman"/>
          <w:sz w:val="22"/>
          <w:szCs w:val="22"/>
        </w:rPr>
      </w:pPr>
      <w:bookmarkStart w:id="0" w:name="_GoBack"/>
      <w:bookmarkEnd w:id="0"/>
      <w:r>
        <w:rPr>
          <w:rFonts w:ascii="Times New Roman" w:hAnsi="Times New Roman"/>
          <w:noProof/>
          <w:sz w:val="22"/>
          <w:szCs w:val="22"/>
        </w:rPr>
        <w:drawing>
          <wp:anchor distT="0" distB="0" distL="114300" distR="114300" simplePos="0" relativeHeight="251657728" behindDoc="0" locked="0" layoutInCell="1" allowOverlap="1" wp14:anchorId="6A602B3E" wp14:editId="0667C8D6">
            <wp:simplePos x="0" y="0"/>
            <wp:positionH relativeFrom="column">
              <wp:posOffset>4602480</wp:posOffset>
            </wp:positionH>
            <wp:positionV relativeFrom="paragraph">
              <wp:posOffset>673072</wp:posOffset>
            </wp:positionV>
            <wp:extent cx="1691640" cy="421005"/>
            <wp:effectExtent l="0" t="0" r="381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421005"/>
                    </a:xfrm>
                    <a:prstGeom prst="rect">
                      <a:avLst/>
                    </a:prstGeom>
                    <a:noFill/>
                  </pic:spPr>
                </pic:pic>
              </a:graphicData>
            </a:graphic>
          </wp:anchor>
        </w:drawing>
      </w:r>
      <w:r>
        <w:rPr>
          <w:rFonts w:ascii="Times New Roman" w:hAnsi="Times New Roman"/>
          <w:noProof/>
          <w:sz w:val="22"/>
          <w:szCs w:val="22"/>
        </w:rPr>
        <w:drawing>
          <wp:inline distT="0" distB="0" distL="0" distR="0" wp14:anchorId="56906F04" wp14:editId="7DFFCBE9">
            <wp:extent cx="1882139" cy="10058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139" cy="1005840"/>
                    </a:xfrm>
                    <a:prstGeom prst="rect">
                      <a:avLst/>
                    </a:prstGeom>
                    <a:noFill/>
                    <a:ln>
                      <a:noFill/>
                    </a:ln>
                  </pic:spPr>
                </pic:pic>
              </a:graphicData>
            </a:graphic>
          </wp:inline>
        </w:drawing>
      </w:r>
    </w:p>
    <w:p w14:paraId="4C7BF4C9" w14:textId="77777777" w:rsidR="00385B6E" w:rsidRPr="00863BD2" w:rsidRDefault="00CA6025" w:rsidP="00CA6025">
      <w:pPr>
        <w:pStyle w:val="Header"/>
        <w:tabs>
          <w:tab w:val="clear" w:pos="4320"/>
          <w:tab w:val="clear" w:pos="8640"/>
          <w:tab w:val="left" w:pos="1080"/>
        </w:tabs>
        <w:rPr>
          <w:rFonts w:ascii="Times New Roman" w:hAnsi="Times New Roman"/>
          <w:sz w:val="20"/>
        </w:rPr>
      </w:pPr>
      <w:r w:rsidRPr="00863BD2">
        <w:rPr>
          <w:rFonts w:ascii="Times New Roman" w:hAnsi="Times New Roman"/>
          <w:sz w:val="20"/>
        </w:rPr>
        <w:t>Contact</w:t>
      </w:r>
      <w:r w:rsidR="00385B6E" w:rsidRPr="00863BD2">
        <w:rPr>
          <w:rFonts w:ascii="Times New Roman" w:hAnsi="Times New Roman"/>
          <w:sz w:val="20"/>
        </w:rPr>
        <w:t xml:space="preserve">s: </w:t>
      </w:r>
      <w:r w:rsidR="00385B6E" w:rsidRPr="00863BD2">
        <w:rPr>
          <w:rFonts w:ascii="Times New Roman" w:hAnsi="Times New Roman"/>
          <w:sz w:val="20"/>
        </w:rPr>
        <w:tab/>
        <w:t>Peter J. Johnson, President and CEO</w:t>
      </w:r>
    </w:p>
    <w:p w14:paraId="4A6A91B2" w14:textId="77777777" w:rsidR="00CA6025" w:rsidRPr="00863BD2" w:rsidRDefault="00385B6E" w:rsidP="00CA6025">
      <w:pPr>
        <w:pStyle w:val="Header"/>
        <w:tabs>
          <w:tab w:val="clear" w:pos="4320"/>
          <w:tab w:val="clear" w:pos="8640"/>
          <w:tab w:val="left" w:pos="1080"/>
        </w:tabs>
        <w:rPr>
          <w:rFonts w:ascii="Times New Roman" w:hAnsi="Times New Roman"/>
          <w:sz w:val="20"/>
        </w:rPr>
      </w:pPr>
      <w:r w:rsidRPr="00863BD2">
        <w:rPr>
          <w:rFonts w:ascii="Times New Roman" w:hAnsi="Times New Roman"/>
          <w:sz w:val="20"/>
        </w:rPr>
        <w:tab/>
        <w:t>(406) 457-4006</w:t>
      </w:r>
      <w:r w:rsidR="00CA6025" w:rsidRPr="00863BD2">
        <w:rPr>
          <w:rFonts w:ascii="Times New Roman" w:hAnsi="Times New Roman"/>
          <w:sz w:val="20"/>
        </w:rPr>
        <w:t xml:space="preserve"> </w:t>
      </w:r>
    </w:p>
    <w:p w14:paraId="756428DC" w14:textId="77777777" w:rsidR="00863BD2" w:rsidRPr="006653A4" w:rsidRDefault="00AD3027" w:rsidP="00CA6025">
      <w:pPr>
        <w:pStyle w:val="Header"/>
        <w:tabs>
          <w:tab w:val="clear" w:pos="4320"/>
          <w:tab w:val="clear" w:pos="8640"/>
          <w:tab w:val="left" w:pos="1080"/>
        </w:tabs>
        <w:rPr>
          <w:rFonts w:ascii="Times New Roman" w:hAnsi="Times New Roman"/>
          <w:sz w:val="20"/>
        </w:rPr>
      </w:pPr>
      <w:r w:rsidRPr="00863BD2">
        <w:rPr>
          <w:rFonts w:ascii="Times New Roman" w:hAnsi="Times New Roman"/>
          <w:sz w:val="20"/>
        </w:rPr>
        <w:tab/>
      </w:r>
      <w:r w:rsidR="00863BD2" w:rsidRPr="006653A4">
        <w:rPr>
          <w:rFonts w:ascii="Times New Roman" w:hAnsi="Times New Roman"/>
          <w:sz w:val="20"/>
        </w:rPr>
        <w:t>Laura F. Clark, SVP and CFO</w:t>
      </w:r>
    </w:p>
    <w:p w14:paraId="1E807FE7" w14:textId="77777777" w:rsidR="00863BD2" w:rsidRPr="009867AB" w:rsidRDefault="00863BD2" w:rsidP="00CA6025">
      <w:pPr>
        <w:pStyle w:val="Header"/>
        <w:tabs>
          <w:tab w:val="clear" w:pos="4320"/>
          <w:tab w:val="clear" w:pos="8640"/>
          <w:tab w:val="left" w:pos="1080"/>
        </w:tabs>
        <w:rPr>
          <w:rFonts w:ascii="Times New Roman" w:hAnsi="Times New Roman"/>
          <w:sz w:val="32"/>
          <w:szCs w:val="32"/>
        </w:rPr>
      </w:pPr>
      <w:r w:rsidRPr="006653A4">
        <w:rPr>
          <w:rFonts w:ascii="Times New Roman" w:hAnsi="Times New Roman"/>
          <w:sz w:val="20"/>
        </w:rPr>
        <w:tab/>
        <w:t>(406) 457-4007</w:t>
      </w:r>
      <w:r w:rsidR="00DB4FA5" w:rsidRPr="00863BD2">
        <w:rPr>
          <w:rFonts w:ascii="Times New Roman" w:hAnsi="Times New Roman"/>
          <w:sz w:val="22"/>
          <w:szCs w:val="22"/>
        </w:rPr>
        <w:tab/>
      </w:r>
      <w:r w:rsidR="00DB4FA5" w:rsidRPr="00602B0E">
        <w:rPr>
          <w:rFonts w:ascii="Times New Roman" w:hAnsi="Times New Roman"/>
          <w:sz w:val="22"/>
          <w:szCs w:val="22"/>
        </w:rPr>
        <w:tab/>
      </w:r>
      <w:r w:rsidR="00DB4FA5" w:rsidRPr="00602B0E">
        <w:rPr>
          <w:rFonts w:ascii="Times New Roman" w:hAnsi="Times New Roman"/>
          <w:sz w:val="22"/>
          <w:szCs w:val="22"/>
        </w:rPr>
        <w:tab/>
      </w:r>
      <w:r w:rsidR="00DB4FA5" w:rsidRPr="00602B0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867AB" w:rsidRPr="0035033E">
        <w:rPr>
          <w:rFonts w:ascii="Times New Roman" w:hAnsi="Times New Roman"/>
          <w:b/>
          <w:sz w:val="32"/>
          <w:szCs w:val="32"/>
        </w:rPr>
        <w:t>NEWS RELEASE</w:t>
      </w:r>
    </w:p>
    <w:p w14:paraId="42B77DAF" w14:textId="77777777" w:rsidR="00CA6025" w:rsidRPr="00602B0E" w:rsidRDefault="00CA6025" w:rsidP="00CA6025">
      <w:pPr>
        <w:pBdr>
          <w:bottom w:val="double" w:sz="18" w:space="0" w:color="auto"/>
        </w:pBdr>
        <w:shd w:val="pct25" w:color="auto" w:fill="auto"/>
        <w:rPr>
          <w:sz w:val="22"/>
          <w:szCs w:val="22"/>
        </w:rPr>
      </w:pPr>
    </w:p>
    <w:p w14:paraId="145D8854" w14:textId="77777777" w:rsidR="00CA6025" w:rsidRPr="00602B0E" w:rsidRDefault="00CA6025" w:rsidP="00CA6025">
      <w:pPr>
        <w:pStyle w:val="Heading2"/>
        <w:tabs>
          <w:tab w:val="clear" w:pos="4752"/>
        </w:tabs>
        <w:ind w:left="0"/>
        <w:jc w:val="center"/>
        <w:rPr>
          <w:b/>
          <w:sz w:val="22"/>
          <w:szCs w:val="22"/>
          <w:u w:val="single"/>
        </w:rPr>
      </w:pPr>
    </w:p>
    <w:p w14:paraId="6343CB9D" w14:textId="42254D4C" w:rsidR="00672BEE" w:rsidRPr="002B2C42" w:rsidRDefault="00385B6E" w:rsidP="004C1E88">
      <w:pPr>
        <w:pStyle w:val="Heading2"/>
        <w:tabs>
          <w:tab w:val="clear" w:pos="4752"/>
        </w:tabs>
        <w:ind w:left="0"/>
        <w:jc w:val="center"/>
        <w:rPr>
          <w:b/>
          <w:sz w:val="22"/>
          <w:szCs w:val="22"/>
          <w:u w:val="single"/>
        </w:rPr>
      </w:pPr>
      <w:r w:rsidRPr="002B2C42">
        <w:rPr>
          <w:b/>
          <w:sz w:val="22"/>
          <w:szCs w:val="22"/>
          <w:u w:val="single"/>
        </w:rPr>
        <w:t>Eagle Bancorp Montana</w:t>
      </w:r>
      <w:r w:rsidR="00CA6025" w:rsidRPr="002B2C42">
        <w:rPr>
          <w:b/>
          <w:sz w:val="22"/>
          <w:szCs w:val="22"/>
          <w:u w:val="single"/>
        </w:rPr>
        <w:t xml:space="preserve"> </w:t>
      </w:r>
      <w:r w:rsidR="00714C08" w:rsidRPr="002B2C42">
        <w:rPr>
          <w:b/>
          <w:sz w:val="22"/>
          <w:szCs w:val="22"/>
          <w:u w:val="single"/>
        </w:rPr>
        <w:t xml:space="preserve">Earns </w:t>
      </w:r>
      <w:r w:rsidR="007655FB" w:rsidRPr="002B2C42">
        <w:rPr>
          <w:b/>
          <w:sz w:val="22"/>
          <w:szCs w:val="22"/>
          <w:u w:val="single"/>
        </w:rPr>
        <w:t>$</w:t>
      </w:r>
      <w:r w:rsidR="004C1E88" w:rsidRPr="002B2C42">
        <w:rPr>
          <w:b/>
          <w:sz w:val="22"/>
          <w:szCs w:val="22"/>
          <w:u w:val="single"/>
        </w:rPr>
        <w:t>553,000 in the Fourth</w:t>
      </w:r>
      <w:r w:rsidR="0077176C" w:rsidRPr="002B2C42">
        <w:rPr>
          <w:b/>
          <w:sz w:val="22"/>
          <w:szCs w:val="22"/>
          <w:u w:val="single"/>
        </w:rPr>
        <w:t xml:space="preserve"> Quarter</w:t>
      </w:r>
      <w:r w:rsidR="004C1E88" w:rsidRPr="002B2C42">
        <w:rPr>
          <w:b/>
          <w:sz w:val="22"/>
          <w:szCs w:val="22"/>
          <w:u w:val="single"/>
        </w:rPr>
        <w:t xml:space="preserve"> and $4.1 Million for</w:t>
      </w:r>
      <w:r w:rsidR="005E4432">
        <w:rPr>
          <w:b/>
          <w:sz w:val="22"/>
          <w:szCs w:val="22"/>
          <w:u w:val="single"/>
        </w:rPr>
        <w:t xml:space="preserve"> </w:t>
      </w:r>
      <w:r w:rsidR="004C1E88" w:rsidRPr="002B2C42">
        <w:rPr>
          <w:b/>
          <w:sz w:val="22"/>
          <w:szCs w:val="22"/>
          <w:u w:val="single"/>
        </w:rPr>
        <w:t>2017 Following Write Down of Deferred Tax Asset;</w:t>
      </w:r>
    </w:p>
    <w:p w14:paraId="3AE742B7" w14:textId="77777777" w:rsidR="005E5D3D" w:rsidRPr="007C5954" w:rsidRDefault="00A72604" w:rsidP="00CE4719">
      <w:pPr>
        <w:pStyle w:val="Heading2"/>
        <w:tabs>
          <w:tab w:val="clear" w:pos="4752"/>
        </w:tabs>
        <w:ind w:left="0"/>
        <w:jc w:val="center"/>
        <w:rPr>
          <w:b/>
          <w:sz w:val="22"/>
          <w:szCs w:val="22"/>
          <w:u w:val="single"/>
        </w:rPr>
      </w:pPr>
      <w:r w:rsidRPr="002B2C42">
        <w:rPr>
          <w:b/>
          <w:sz w:val="22"/>
          <w:szCs w:val="22"/>
          <w:u w:val="single"/>
        </w:rPr>
        <w:t xml:space="preserve">Declares </w:t>
      </w:r>
      <w:r w:rsidR="004950D1" w:rsidRPr="002B2C42">
        <w:rPr>
          <w:b/>
          <w:sz w:val="22"/>
          <w:szCs w:val="22"/>
          <w:u w:val="single"/>
        </w:rPr>
        <w:t xml:space="preserve">Regular </w:t>
      </w:r>
      <w:r w:rsidRPr="002B2C42">
        <w:rPr>
          <w:b/>
          <w:sz w:val="22"/>
          <w:szCs w:val="22"/>
          <w:u w:val="single"/>
        </w:rPr>
        <w:t>Quarterly Cash Dividend of</w:t>
      </w:r>
      <w:r w:rsidR="004950D1" w:rsidRPr="002B2C42">
        <w:rPr>
          <w:b/>
          <w:sz w:val="22"/>
          <w:szCs w:val="22"/>
          <w:u w:val="single"/>
        </w:rPr>
        <w:t xml:space="preserve"> $0.09</w:t>
      </w:r>
      <w:r w:rsidR="004950D1">
        <w:rPr>
          <w:b/>
          <w:sz w:val="22"/>
          <w:szCs w:val="22"/>
          <w:u w:val="single"/>
        </w:rPr>
        <w:t xml:space="preserve"> per Share </w:t>
      </w:r>
    </w:p>
    <w:p w14:paraId="54F749E9" w14:textId="77777777" w:rsidR="00324807" w:rsidRPr="007C5954" w:rsidRDefault="00324807" w:rsidP="00324807"/>
    <w:p w14:paraId="2DDB4AE9" w14:textId="521D4C00" w:rsidR="00D34B42" w:rsidRDefault="00C207F2" w:rsidP="00904584">
      <w:pPr>
        <w:pStyle w:val="NormalWeb"/>
        <w:jc w:val="both"/>
        <w:rPr>
          <w:sz w:val="22"/>
          <w:szCs w:val="22"/>
        </w:rPr>
      </w:pPr>
      <w:r w:rsidRPr="007C5954">
        <w:rPr>
          <w:b/>
          <w:sz w:val="22"/>
          <w:szCs w:val="22"/>
        </w:rPr>
        <w:t>Helena, Montana</w:t>
      </w:r>
      <w:r w:rsidRPr="007C5954">
        <w:rPr>
          <w:sz w:val="22"/>
          <w:szCs w:val="22"/>
        </w:rPr>
        <w:t xml:space="preserve"> – </w:t>
      </w:r>
      <w:r w:rsidR="008F3C65">
        <w:rPr>
          <w:sz w:val="22"/>
          <w:szCs w:val="22"/>
        </w:rPr>
        <w:t>January 29</w:t>
      </w:r>
      <w:r w:rsidR="00E86AA0" w:rsidRPr="007C5954">
        <w:rPr>
          <w:sz w:val="22"/>
          <w:szCs w:val="22"/>
        </w:rPr>
        <w:t>, 201</w:t>
      </w:r>
      <w:r w:rsidR="008F3C65">
        <w:rPr>
          <w:sz w:val="22"/>
          <w:szCs w:val="22"/>
        </w:rPr>
        <w:t>8</w:t>
      </w:r>
      <w:r w:rsidRPr="007C5954">
        <w:rPr>
          <w:sz w:val="22"/>
          <w:szCs w:val="22"/>
        </w:rPr>
        <w:t xml:space="preserve"> – Eagle Bancorp Montana, Inc. (NASDAQ: EBMT</w:t>
      </w:r>
      <w:r w:rsidR="00CA6025" w:rsidRPr="007C5954">
        <w:rPr>
          <w:sz w:val="22"/>
          <w:szCs w:val="22"/>
        </w:rPr>
        <w:t>)</w:t>
      </w:r>
      <w:r w:rsidRPr="007C5954">
        <w:rPr>
          <w:sz w:val="22"/>
          <w:szCs w:val="22"/>
        </w:rPr>
        <w:t>,</w:t>
      </w:r>
      <w:r w:rsidR="00541121" w:rsidRPr="007C5954">
        <w:rPr>
          <w:sz w:val="22"/>
          <w:szCs w:val="22"/>
        </w:rPr>
        <w:t xml:space="preserve"> (the “Company,” “Eagle”),</w:t>
      </w:r>
      <w:r w:rsidRPr="007C5954">
        <w:rPr>
          <w:sz w:val="22"/>
          <w:szCs w:val="22"/>
        </w:rPr>
        <w:t xml:space="preserve"> the holding </w:t>
      </w:r>
      <w:r w:rsidRPr="00083D91">
        <w:rPr>
          <w:sz w:val="22"/>
          <w:szCs w:val="22"/>
        </w:rPr>
        <w:t>com</w:t>
      </w:r>
      <w:r w:rsidR="002F1910" w:rsidRPr="00083D91">
        <w:rPr>
          <w:sz w:val="22"/>
          <w:szCs w:val="22"/>
        </w:rPr>
        <w:t>pany of Opportunity</w:t>
      </w:r>
      <w:r w:rsidRPr="00083D91">
        <w:rPr>
          <w:sz w:val="22"/>
          <w:szCs w:val="22"/>
        </w:rPr>
        <w:t xml:space="preserve"> Bank</w:t>
      </w:r>
      <w:r w:rsidR="008625BF" w:rsidRPr="00083D91">
        <w:rPr>
          <w:sz w:val="22"/>
          <w:szCs w:val="22"/>
        </w:rPr>
        <w:t xml:space="preserve"> of Montana</w:t>
      </w:r>
      <w:r w:rsidRPr="00083D91">
        <w:rPr>
          <w:sz w:val="22"/>
          <w:szCs w:val="22"/>
        </w:rPr>
        <w:t>,</w:t>
      </w:r>
      <w:r w:rsidR="00904584" w:rsidRPr="00083D91">
        <w:rPr>
          <w:sz w:val="22"/>
          <w:szCs w:val="22"/>
        </w:rPr>
        <w:t xml:space="preserve"> </w:t>
      </w:r>
      <w:r w:rsidR="00904584" w:rsidRPr="00586D82">
        <w:rPr>
          <w:sz w:val="22"/>
          <w:szCs w:val="22"/>
        </w:rPr>
        <w:t>today repor</w:t>
      </w:r>
      <w:r w:rsidR="007D0DD5" w:rsidRPr="00586D82">
        <w:rPr>
          <w:sz w:val="22"/>
          <w:szCs w:val="22"/>
        </w:rPr>
        <w:t xml:space="preserve">ted </w:t>
      </w:r>
      <w:r w:rsidR="00DF2567" w:rsidRPr="00586D82">
        <w:rPr>
          <w:sz w:val="22"/>
          <w:szCs w:val="22"/>
        </w:rPr>
        <w:t xml:space="preserve">that following a writedown of its deferred tax asset, which resulted in </w:t>
      </w:r>
      <w:r w:rsidR="00586F08">
        <w:rPr>
          <w:sz w:val="22"/>
          <w:szCs w:val="22"/>
        </w:rPr>
        <w:t>an additional tax expense of $715</w:t>
      </w:r>
      <w:r w:rsidR="00DF2567" w:rsidRPr="00586D82">
        <w:rPr>
          <w:sz w:val="22"/>
          <w:szCs w:val="22"/>
        </w:rPr>
        <w:t xml:space="preserve">,000, </w:t>
      </w:r>
      <w:r w:rsidR="00586D82" w:rsidRPr="00586D82">
        <w:rPr>
          <w:sz w:val="22"/>
          <w:szCs w:val="22"/>
        </w:rPr>
        <w:t>or $0.</w:t>
      </w:r>
      <w:r w:rsidR="00586F08">
        <w:rPr>
          <w:sz w:val="22"/>
          <w:szCs w:val="22"/>
        </w:rPr>
        <w:t>15</w:t>
      </w:r>
      <w:r w:rsidR="007244FE">
        <w:rPr>
          <w:sz w:val="22"/>
          <w:szCs w:val="22"/>
        </w:rPr>
        <w:t xml:space="preserve"> </w:t>
      </w:r>
      <w:r w:rsidR="00586D82" w:rsidRPr="00586D82">
        <w:rPr>
          <w:sz w:val="22"/>
          <w:szCs w:val="22"/>
        </w:rPr>
        <w:t xml:space="preserve">per diluted share, </w:t>
      </w:r>
      <w:r w:rsidR="007240CD" w:rsidRPr="00586D82">
        <w:rPr>
          <w:sz w:val="22"/>
          <w:szCs w:val="22"/>
        </w:rPr>
        <w:t xml:space="preserve">net income </w:t>
      </w:r>
      <w:r w:rsidR="00586D82" w:rsidRPr="00586D82">
        <w:rPr>
          <w:sz w:val="22"/>
          <w:szCs w:val="22"/>
        </w:rPr>
        <w:t xml:space="preserve">was $553,000, or $0.11 per diluted share in the fourth quarter of 2017.  This compares with net income of </w:t>
      </w:r>
      <w:r w:rsidR="007D0DD5" w:rsidRPr="00586D82">
        <w:rPr>
          <w:sz w:val="22"/>
          <w:szCs w:val="22"/>
        </w:rPr>
        <w:t>$1.7</w:t>
      </w:r>
      <w:r w:rsidR="00083D91" w:rsidRPr="00586D82">
        <w:rPr>
          <w:sz w:val="22"/>
          <w:szCs w:val="22"/>
        </w:rPr>
        <w:t xml:space="preserve"> million</w:t>
      </w:r>
      <w:r w:rsidR="008D38C4" w:rsidRPr="00586D82">
        <w:rPr>
          <w:sz w:val="22"/>
          <w:szCs w:val="22"/>
        </w:rPr>
        <w:t>, o</w:t>
      </w:r>
      <w:r w:rsidR="007D0DD5" w:rsidRPr="00586D82">
        <w:rPr>
          <w:sz w:val="22"/>
          <w:szCs w:val="22"/>
        </w:rPr>
        <w:t>r $0.45</w:t>
      </w:r>
      <w:r w:rsidR="00714C08" w:rsidRPr="00586D82">
        <w:rPr>
          <w:sz w:val="22"/>
          <w:szCs w:val="22"/>
        </w:rPr>
        <w:t xml:space="preserve"> </w:t>
      </w:r>
      <w:r w:rsidR="007C5954" w:rsidRPr="00586D82">
        <w:rPr>
          <w:sz w:val="22"/>
          <w:szCs w:val="22"/>
        </w:rPr>
        <w:t>per dilut</w:t>
      </w:r>
      <w:r w:rsidR="00F9223B" w:rsidRPr="00586D82">
        <w:rPr>
          <w:sz w:val="22"/>
          <w:szCs w:val="22"/>
        </w:rPr>
        <w:t>ed share</w:t>
      </w:r>
      <w:r w:rsidR="00714C08" w:rsidRPr="00586D82">
        <w:rPr>
          <w:sz w:val="22"/>
          <w:szCs w:val="22"/>
        </w:rPr>
        <w:t>,</w:t>
      </w:r>
      <w:r w:rsidR="00586D82" w:rsidRPr="00586D82">
        <w:rPr>
          <w:sz w:val="22"/>
          <w:szCs w:val="22"/>
        </w:rPr>
        <w:t xml:space="preserve"> in the preceding quarter and $1.4 million, or $0.37 per diluted share, in the fourth quarter a year ago.  The current quarter results were </w:t>
      </w:r>
      <w:r w:rsidR="004C1E88">
        <w:rPr>
          <w:sz w:val="22"/>
          <w:szCs w:val="22"/>
        </w:rPr>
        <w:t xml:space="preserve">also </w:t>
      </w:r>
      <w:r w:rsidR="00586D82" w:rsidRPr="00586D82">
        <w:rPr>
          <w:sz w:val="22"/>
          <w:szCs w:val="22"/>
        </w:rPr>
        <w:t>impacted by $400,000 of acquisition-related expenses which, net of tax ben</w:t>
      </w:r>
      <w:r w:rsidR="007244FE">
        <w:rPr>
          <w:sz w:val="22"/>
          <w:szCs w:val="22"/>
        </w:rPr>
        <w:t>efit, reduced net income by $0.08</w:t>
      </w:r>
      <w:r w:rsidR="00586D82" w:rsidRPr="00586D82">
        <w:rPr>
          <w:sz w:val="22"/>
          <w:szCs w:val="22"/>
        </w:rPr>
        <w:t xml:space="preserve"> per diluted share. The results of the</w:t>
      </w:r>
      <w:r w:rsidR="001B6529">
        <w:rPr>
          <w:sz w:val="22"/>
          <w:szCs w:val="22"/>
        </w:rPr>
        <w:t xml:space="preserve"> preceding quarter included $276</w:t>
      </w:r>
      <w:r w:rsidR="00586D82" w:rsidRPr="00586D82">
        <w:rPr>
          <w:sz w:val="22"/>
          <w:szCs w:val="22"/>
        </w:rPr>
        <w:t xml:space="preserve">,000 of acquisition </w:t>
      </w:r>
      <w:r w:rsidR="005E4432" w:rsidRPr="005E4432">
        <w:rPr>
          <w:sz w:val="22"/>
          <w:szCs w:val="22"/>
        </w:rPr>
        <w:t>expense</w:t>
      </w:r>
      <w:r w:rsidR="005E4432">
        <w:rPr>
          <w:sz w:val="22"/>
          <w:szCs w:val="22"/>
        </w:rPr>
        <w:t>s</w:t>
      </w:r>
      <w:r w:rsidR="005E4432" w:rsidRPr="005E4432">
        <w:rPr>
          <w:sz w:val="22"/>
          <w:szCs w:val="22"/>
        </w:rPr>
        <w:t>,</w:t>
      </w:r>
      <w:r w:rsidR="00586D82" w:rsidRPr="005E4432">
        <w:rPr>
          <w:sz w:val="22"/>
          <w:szCs w:val="22"/>
        </w:rPr>
        <w:t xml:space="preserve"> while operating</w:t>
      </w:r>
      <w:r w:rsidR="00586D82" w:rsidRPr="00586D82">
        <w:rPr>
          <w:sz w:val="22"/>
          <w:szCs w:val="22"/>
        </w:rPr>
        <w:t xml:space="preserve"> results in the fourth quarter a year ago included no acquisition</w:t>
      </w:r>
      <w:r w:rsidR="00586D82">
        <w:rPr>
          <w:sz w:val="22"/>
          <w:szCs w:val="22"/>
        </w:rPr>
        <w:t xml:space="preserve"> expenses. </w:t>
      </w:r>
    </w:p>
    <w:p w14:paraId="61262DA6" w14:textId="2F5DFD58" w:rsidR="00586D82" w:rsidRPr="00586D82" w:rsidRDefault="00586D82" w:rsidP="00904584">
      <w:pPr>
        <w:pStyle w:val="NormalWeb"/>
        <w:jc w:val="both"/>
        <w:rPr>
          <w:sz w:val="22"/>
          <w:szCs w:val="22"/>
        </w:rPr>
      </w:pPr>
      <w:r w:rsidRPr="00586D82">
        <w:rPr>
          <w:sz w:val="22"/>
          <w:szCs w:val="22"/>
        </w:rPr>
        <w:t xml:space="preserve">For the year 2017, Eagle’s net income was $4.1 million, or $0.99 per diluted share, compared to $5.1 million, or $1.32 per diluted share, in 2016. </w:t>
      </w:r>
    </w:p>
    <w:p w14:paraId="50D58943" w14:textId="7F8132C6" w:rsidR="0018337D" w:rsidRPr="00586D82" w:rsidRDefault="007A483F" w:rsidP="000E0AEA">
      <w:pPr>
        <w:pStyle w:val="EBMT"/>
        <w:jc w:val="both"/>
      </w:pPr>
      <w:r w:rsidRPr="00586D82">
        <w:t>Additionally, E</w:t>
      </w:r>
      <w:r w:rsidR="00660290" w:rsidRPr="00586D82">
        <w:t xml:space="preserve">agle’s board of directors </w:t>
      </w:r>
      <w:r w:rsidRPr="00586D82">
        <w:t>declared its</w:t>
      </w:r>
      <w:r w:rsidR="004950D1" w:rsidRPr="00586D82">
        <w:t xml:space="preserve"> </w:t>
      </w:r>
      <w:r w:rsidR="00660290" w:rsidRPr="00586D82">
        <w:t>re</w:t>
      </w:r>
      <w:r w:rsidR="004950D1" w:rsidRPr="00586D82">
        <w:t>gular</w:t>
      </w:r>
      <w:r w:rsidRPr="00586D82">
        <w:t xml:space="preserve"> quarterly cash dividend of</w:t>
      </w:r>
      <w:r w:rsidR="004950D1" w:rsidRPr="00586D82">
        <w:t xml:space="preserve"> $0.09</w:t>
      </w:r>
      <w:r w:rsidR="00660290" w:rsidRPr="00586D82">
        <w:t xml:space="preserve"> per share.  The dividend </w:t>
      </w:r>
      <w:r w:rsidR="00586D82" w:rsidRPr="00586D82">
        <w:t>will be payable March</w:t>
      </w:r>
      <w:r w:rsidR="00426232" w:rsidRPr="00586D82">
        <w:t xml:space="preserve"> </w:t>
      </w:r>
      <w:r w:rsidR="004950D1" w:rsidRPr="00586D82">
        <w:t>1</w:t>
      </w:r>
      <w:r w:rsidR="00586D82" w:rsidRPr="00586D82">
        <w:t>, 2018</w:t>
      </w:r>
      <w:r w:rsidR="00660290" w:rsidRPr="00586D82">
        <w:t xml:space="preserve"> to sharehol</w:t>
      </w:r>
      <w:r w:rsidR="007244FE">
        <w:t>ders of record February 9</w:t>
      </w:r>
      <w:r w:rsidR="00586D82" w:rsidRPr="00586D82">
        <w:t>, 2018</w:t>
      </w:r>
      <w:r w:rsidR="00660290" w:rsidRPr="00586D82">
        <w:t xml:space="preserve">. </w:t>
      </w:r>
      <w:r w:rsidR="009D237C" w:rsidRPr="00586D82">
        <w:t xml:space="preserve"> </w:t>
      </w:r>
      <w:r w:rsidR="00660290" w:rsidRPr="00586D82">
        <w:t>The</w:t>
      </w:r>
      <w:r w:rsidR="00165AF6" w:rsidRPr="00586D82">
        <w:t xml:space="preserve"> </w:t>
      </w:r>
      <w:r w:rsidR="00426232" w:rsidRPr="00586D82">
        <w:t xml:space="preserve">current annualized yield is </w:t>
      </w:r>
      <w:r w:rsidR="00586D82" w:rsidRPr="00586D82">
        <w:t>1.71</w:t>
      </w:r>
      <w:r w:rsidRPr="00586D82">
        <w:t>% based on</w:t>
      </w:r>
      <w:r w:rsidR="00660290" w:rsidRPr="00586D82">
        <w:t xml:space="preserve"> recent market prices. </w:t>
      </w:r>
    </w:p>
    <w:p w14:paraId="79BB4B08" w14:textId="60D93853" w:rsidR="002B2C42" w:rsidRDefault="002B2C42" w:rsidP="002B2C42">
      <w:pPr>
        <w:pStyle w:val="EBMT"/>
        <w:jc w:val="both"/>
      </w:pPr>
      <w:r>
        <w:t>“Strong loan growth, improved operating efficiencies and a stable net interest margin fueled our earni</w:t>
      </w:r>
      <w:r w:rsidR="00586F08">
        <w:t xml:space="preserve">ngs during the quarter,” </w:t>
      </w:r>
      <w:r w:rsidRPr="002B2C42">
        <w:t xml:space="preserve">said Peter J. Johnson, President and CEO. </w:t>
      </w:r>
      <w:r>
        <w:t>“With our growing revenues, coupled with the Ruby Valley Bank transaction and other strategic initiatives, we believe Eagle is well positioned for continued profitability improvements.</w:t>
      </w:r>
    </w:p>
    <w:p w14:paraId="03C6A92C" w14:textId="474C1EDB" w:rsidR="002B2C42" w:rsidRDefault="002B2C42" w:rsidP="002B2C42">
      <w:pPr>
        <w:pStyle w:val="EBMT"/>
        <w:jc w:val="both"/>
        <w:rPr>
          <w:highlight w:val="yellow"/>
        </w:rPr>
      </w:pPr>
      <w:r>
        <w:t xml:space="preserve">“Our previously announced </w:t>
      </w:r>
      <w:r w:rsidRPr="002B2C42">
        <w:t xml:space="preserve">definitive merger agreement to acquire Ruby Valley Bank, Twin Bridges, Montana </w:t>
      </w:r>
      <w:r>
        <w:t>is still on tr</w:t>
      </w:r>
      <w:r w:rsidR="007244FE">
        <w:t>ack to close later this month</w:t>
      </w:r>
      <w:r>
        <w:t xml:space="preserve">,” Johnson continued. “We are excited about the opportunity this transaction will offer to our company, and the transaction fits well into our strategy of further expanding our presence in the state of Montana.  </w:t>
      </w:r>
      <w:r w:rsidRPr="002B2C42">
        <w:t>The combination of our two organizations will provide the ability to create revenue and cost synergies while offering Ruby Valley Bank customers a broader product offering, increased lending limits, and an expanded branch delivery system that</w:t>
      </w:r>
      <w:r>
        <w:t xml:space="preserve"> stretches throughout the state.  We expect the acquisition will provide substantial EPS accretion in the first full year</w:t>
      </w:r>
      <w:r w:rsidR="00C008A1">
        <w:t>,</w:t>
      </w:r>
      <w:r>
        <w:t xml:space="preserve"> and we will continue to look for additional opportunities to expand our brand of community banking.”</w:t>
      </w:r>
    </w:p>
    <w:p w14:paraId="565C2CF1" w14:textId="29ED184E" w:rsidR="004F736D" w:rsidRPr="00D858D7" w:rsidRDefault="00F156E5" w:rsidP="000E0AEA">
      <w:pPr>
        <w:pStyle w:val="EBMT"/>
        <w:jc w:val="both"/>
      </w:pPr>
      <w:r w:rsidRPr="00D858D7">
        <w:t xml:space="preserve">The acquisition of $90 million Ruby Valley </w:t>
      </w:r>
      <w:r w:rsidR="001B6529">
        <w:t xml:space="preserve">Bank </w:t>
      </w:r>
      <w:r w:rsidRPr="00D858D7">
        <w:t>will make Opportunity Bank the fifth largest Montana</w:t>
      </w:r>
      <w:r w:rsidR="00906026">
        <w:t>-</w:t>
      </w:r>
      <w:r w:rsidRPr="00D858D7">
        <w:t>based bank with approximately $800 million in assets. Ruby Valley Bank, headquartered in Twin Bridges, Montana, currently operates 2 branches in Twin Bridges and Sheridan and will add approximately $90 million in assets, $78 million in deposits, and $55 million in gros</w:t>
      </w:r>
      <w:r w:rsidR="002B2C42">
        <w:t xml:space="preserve">s loans to Opportunity Bank.  </w:t>
      </w:r>
    </w:p>
    <w:p w14:paraId="71E83849" w14:textId="77777777" w:rsidR="00F156E5" w:rsidRPr="00C67878" w:rsidRDefault="00F156E5" w:rsidP="000E0AEA">
      <w:pPr>
        <w:pStyle w:val="EBMT"/>
        <w:jc w:val="both"/>
      </w:pPr>
    </w:p>
    <w:p w14:paraId="74C44E1D" w14:textId="21A969FC" w:rsidR="00B82BF7" w:rsidRPr="00C67878" w:rsidRDefault="00C67878" w:rsidP="00C7596E">
      <w:pPr>
        <w:pStyle w:val="BodyText"/>
        <w:spacing w:after="120"/>
        <w:jc w:val="both"/>
        <w:rPr>
          <w:bCs/>
          <w:sz w:val="22"/>
          <w:szCs w:val="22"/>
        </w:rPr>
      </w:pPr>
      <w:r w:rsidRPr="00C67878">
        <w:rPr>
          <w:bCs/>
          <w:sz w:val="22"/>
          <w:szCs w:val="22"/>
        </w:rPr>
        <w:t>Fourth</w:t>
      </w:r>
      <w:r w:rsidR="00714C08" w:rsidRPr="00C67878">
        <w:rPr>
          <w:bCs/>
          <w:sz w:val="22"/>
          <w:szCs w:val="22"/>
        </w:rPr>
        <w:t xml:space="preserve"> </w:t>
      </w:r>
      <w:r w:rsidR="008C5683" w:rsidRPr="00C67878">
        <w:rPr>
          <w:bCs/>
          <w:sz w:val="22"/>
          <w:szCs w:val="22"/>
        </w:rPr>
        <w:t>Quarter 20</w:t>
      </w:r>
      <w:r w:rsidR="00AD267A" w:rsidRPr="00C67878">
        <w:rPr>
          <w:bCs/>
          <w:sz w:val="22"/>
          <w:szCs w:val="22"/>
        </w:rPr>
        <w:t>17</w:t>
      </w:r>
      <w:r w:rsidR="006F0B35" w:rsidRPr="00C67878">
        <w:rPr>
          <w:bCs/>
          <w:sz w:val="22"/>
          <w:szCs w:val="22"/>
        </w:rPr>
        <w:t xml:space="preserve"> Highlights</w:t>
      </w:r>
      <w:r w:rsidR="008C5683" w:rsidRPr="00C67878">
        <w:rPr>
          <w:bCs/>
          <w:sz w:val="22"/>
          <w:szCs w:val="22"/>
        </w:rPr>
        <w:t xml:space="preserve"> </w:t>
      </w:r>
      <w:r w:rsidR="008C5683" w:rsidRPr="00C67878">
        <w:rPr>
          <w:b w:val="0"/>
          <w:bCs/>
          <w:sz w:val="22"/>
          <w:szCs w:val="22"/>
        </w:rPr>
        <w:t xml:space="preserve">(at or </w:t>
      </w:r>
      <w:r w:rsidR="006805CD" w:rsidRPr="00C67878">
        <w:rPr>
          <w:b w:val="0"/>
          <w:bCs/>
          <w:sz w:val="22"/>
          <w:szCs w:val="22"/>
        </w:rPr>
        <w:t xml:space="preserve">for the </w:t>
      </w:r>
      <w:r w:rsidR="000C6976" w:rsidRPr="00C67878">
        <w:rPr>
          <w:b w:val="0"/>
          <w:bCs/>
          <w:sz w:val="22"/>
          <w:szCs w:val="22"/>
        </w:rPr>
        <w:t>three-month</w:t>
      </w:r>
      <w:r w:rsidR="00261F20" w:rsidRPr="00C67878">
        <w:rPr>
          <w:b w:val="0"/>
          <w:bCs/>
          <w:sz w:val="22"/>
          <w:szCs w:val="22"/>
        </w:rPr>
        <w:t xml:space="preserve"> </w:t>
      </w:r>
      <w:r w:rsidR="00440B23" w:rsidRPr="00C67878">
        <w:rPr>
          <w:b w:val="0"/>
          <w:bCs/>
          <w:sz w:val="22"/>
          <w:szCs w:val="22"/>
        </w:rPr>
        <w:t xml:space="preserve">period ended </w:t>
      </w:r>
      <w:r w:rsidRPr="00C67878">
        <w:rPr>
          <w:b w:val="0"/>
          <w:bCs/>
          <w:sz w:val="22"/>
          <w:szCs w:val="22"/>
        </w:rPr>
        <w:t>Dec</w:t>
      </w:r>
      <w:r w:rsidR="007A483F" w:rsidRPr="00C67878">
        <w:rPr>
          <w:b w:val="0"/>
          <w:bCs/>
          <w:sz w:val="22"/>
          <w:szCs w:val="22"/>
        </w:rPr>
        <w:t>ember</w:t>
      </w:r>
      <w:r w:rsidRPr="00C67878">
        <w:rPr>
          <w:b w:val="0"/>
          <w:bCs/>
          <w:sz w:val="22"/>
          <w:szCs w:val="22"/>
        </w:rPr>
        <w:t xml:space="preserve"> 31</w:t>
      </w:r>
      <w:r w:rsidR="00AD267A" w:rsidRPr="00C67878">
        <w:rPr>
          <w:b w:val="0"/>
          <w:bCs/>
          <w:sz w:val="22"/>
          <w:szCs w:val="22"/>
        </w:rPr>
        <w:t>, 2017</w:t>
      </w:r>
      <w:r w:rsidR="008C5683" w:rsidRPr="00C67878">
        <w:rPr>
          <w:b w:val="0"/>
          <w:bCs/>
          <w:sz w:val="22"/>
          <w:szCs w:val="22"/>
        </w:rPr>
        <w:t>, except where noted)</w:t>
      </w:r>
    </w:p>
    <w:p w14:paraId="29F5A9A5" w14:textId="36BCA04C" w:rsidR="00E93429" w:rsidRPr="004C1E88" w:rsidRDefault="00F26E3D" w:rsidP="00E93429">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4C1E88">
        <w:rPr>
          <w:b w:val="0"/>
          <w:sz w:val="22"/>
          <w:szCs w:val="22"/>
        </w:rPr>
        <w:t>Net income</w:t>
      </w:r>
      <w:r w:rsidR="00EC00AC" w:rsidRPr="004C1E88">
        <w:rPr>
          <w:b w:val="0"/>
          <w:sz w:val="22"/>
          <w:szCs w:val="22"/>
        </w:rPr>
        <w:t xml:space="preserve"> </w:t>
      </w:r>
      <w:r w:rsidR="004C1E88" w:rsidRPr="004C1E88">
        <w:rPr>
          <w:b w:val="0"/>
          <w:sz w:val="22"/>
          <w:szCs w:val="22"/>
        </w:rPr>
        <w:t>was $553,000, or $0.11 per diluted share.</w:t>
      </w:r>
    </w:p>
    <w:p w14:paraId="5079E333" w14:textId="67191D98" w:rsidR="00E93429" w:rsidRPr="00CC041C" w:rsidRDefault="00CC041C" w:rsidP="00E93429">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CC041C">
        <w:rPr>
          <w:b w:val="0"/>
          <w:sz w:val="22"/>
          <w:szCs w:val="22"/>
        </w:rPr>
        <w:lastRenderedPageBreak/>
        <w:t>Acquisition costs were $400,000 in the fourth</w:t>
      </w:r>
      <w:r w:rsidR="00E93429" w:rsidRPr="00CC041C">
        <w:rPr>
          <w:b w:val="0"/>
          <w:sz w:val="22"/>
          <w:szCs w:val="22"/>
        </w:rPr>
        <w:t xml:space="preserve"> quarter.</w:t>
      </w:r>
    </w:p>
    <w:p w14:paraId="7FF6C090" w14:textId="29097A54" w:rsidR="00C84AC6" w:rsidRPr="00C84AC6" w:rsidRDefault="00C84AC6" w:rsidP="00C84AC6">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C84AC6">
        <w:rPr>
          <w:b w:val="0"/>
          <w:sz w:val="22"/>
          <w:szCs w:val="22"/>
        </w:rPr>
        <w:t xml:space="preserve">Net interest margin was 3.78% in the fourth quarter, </w:t>
      </w:r>
      <w:r>
        <w:rPr>
          <w:b w:val="0"/>
          <w:sz w:val="22"/>
          <w:szCs w:val="22"/>
        </w:rPr>
        <w:t xml:space="preserve">a 17 basis point improvement </w:t>
      </w:r>
      <w:r w:rsidRPr="00C84AC6">
        <w:rPr>
          <w:b w:val="0"/>
          <w:sz w:val="22"/>
          <w:szCs w:val="22"/>
        </w:rPr>
        <w:t>compared to 3.61% in the fourth quarter a year ago</w:t>
      </w:r>
      <w:r w:rsidR="009A27C6" w:rsidRPr="00C84AC6">
        <w:rPr>
          <w:b w:val="0"/>
          <w:sz w:val="22"/>
          <w:szCs w:val="22"/>
        </w:rPr>
        <w:t xml:space="preserve">. </w:t>
      </w:r>
    </w:p>
    <w:p w14:paraId="172C1F15" w14:textId="335ED51C" w:rsidR="00024A9E" w:rsidRDefault="00360431" w:rsidP="00024A9E">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C84AC6">
        <w:rPr>
          <w:b w:val="0"/>
          <w:sz w:val="22"/>
          <w:szCs w:val="22"/>
        </w:rPr>
        <w:t>Revenues (net interest income before the provision for loan losses, plus no</w:t>
      </w:r>
      <w:r w:rsidR="002E0E02" w:rsidRPr="00C84AC6">
        <w:rPr>
          <w:b w:val="0"/>
          <w:sz w:val="22"/>
          <w:szCs w:val="22"/>
        </w:rPr>
        <w:t>n-</w:t>
      </w:r>
      <w:r w:rsidR="001B6529">
        <w:rPr>
          <w:b w:val="0"/>
          <w:sz w:val="22"/>
          <w:szCs w:val="22"/>
        </w:rPr>
        <w:t>interest income) were $9.8</w:t>
      </w:r>
      <w:r w:rsidR="00F42407" w:rsidRPr="00C84AC6">
        <w:rPr>
          <w:b w:val="0"/>
          <w:sz w:val="22"/>
          <w:szCs w:val="22"/>
        </w:rPr>
        <w:t xml:space="preserve"> million</w:t>
      </w:r>
      <w:r w:rsidR="006C713F" w:rsidRPr="00C84AC6">
        <w:rPr>
          <w:b w:val="0"/>
          <w:sz w:val="22"/>
          <w:szCs w:val="22"/>
        </w:rPr>
        <w:t xml:space="preserve">, </w:t>
      </w:r>
      <w:r w:rsidR="001B6529">
        <w:rPr>
          <w:b w:val="0"/>
          <w:sz w:val="22"/>
          <w:szCs w:val="22"/>
        </w:rPr>
        <w:t>compared to $10.2</w:t>
      </w:r>
      <w:r w:rsidR="00C84AC6">
        <w:rPr>
          <w:b w:val="0"/>
          <w:sz w:val="22"/>
          <w:szCs w:val="22"/>
        </w:rPr>
        <w:t xml:space="preserve"> million in the fourth quarter a year ago.</w:t>
      </w:r>
    </w:p>
    <w:p w14:paraId="4F13A6D5" w14:textId="7F066E34" w:rsidR="00024A9E" w:rsidRDefault="00205368" w:rsidP="00024A9E">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024A9E">
        <w:rPr>
          <w:b w:val="0"/>
          <w:sz w:val="22"/>
          <w:szCs w:val="22"/>
        </w:rPr>
        <w:t>Total loans incre</w:t>
      </w:r>
      <w:r w:rsidR="00943410" w:rsidRPr="00024A9E">
        <w:rPr>
          <w:b w:val="0"/>
          <w:sz w:val="22"/>
          <w:szCs w:val="22"/>
        </w:rPr>
        <w:t>ase</w:t>
      </w:r>
      <w:r w:rsidR="00501B2B" w:rsidRPr="00024A9E">
        <w:rPr>
          <w:b w:val="0"/>
          <w:sz w:val="22"/>
          <w:szCs w:val="22"/>
        </w:rPr>
        <w:t>d 10</w:t>
      </w:r>
      <w:r w:rsidR="001B6529">
        <w:rPr>
          <w:b w:val="0"/>
          <w:sz w:val="22"/>
          <w:szCs w:val="22"/>
        </w:rPr>
        <w:t>.1</w:t>
      </w:r>
      <w:r w:rsidR="00BC4818" w:rsidRPr="00024A9E">
        <w:rPr>
          <w:b w:val="0"/>
          <w:sz w:val="22"/>
          <w:szCs w:val="22"/>
        </w:rPr>
        <w:t xml:space="preserve">% to </w:t>
      </w:r>
      <w:r w:rsidR="00890A4D" w:rsidRPr="00024A9E">
        <w:rPr>
          <w:b w:val="0"/>
          <w:sz w:val="22"/>
          <w:szCs w:val="22"/>
        </w:rPr>
        <w:t>$513.2</w:t>
      </w:r>
      <w:r w:rsidR="00306D48" w:rsidRPr="00024A9E">
        <w:rPr>
          <w:b w:val="0"/>
          <w:sz w:val="22"/>
          <w:szCs w:val="22"/>
        </w:rPr>
        <w:t xml:space="preserve"> million at </w:t>
      </w:r>
      <w:r w:rsidR="00890A4D" w:rsidRPr="00024A9E">
        <w:rPr>
          <w:b w:val="0"/>
          <w:sz w:val="22"/>
          <w:szCs w:val="22"/>
        </w:rPr>
        <w:t>Dec</w:t>
      </w:r>
      <w:r w:rsidR="00501B2B" w:rsidRPr="00024A9E">
        <w:rPr>
          <w:b w:val="0"/>
          <w:sz w:val="22"/>
          <w:szCs w:val="22"/>
        </w:rPr>
        <w:t>ember</w:t>
      </w:r>
      <w:r w:rsidR="00890A4D" w:rsidRPr="00024A9E">
        <w:rPr>
          <w:b w:val="0"/>
          <w:sz w:val="22"/>
          <w:szCs w:val="22"/>
        </w:rPr>
        <w:t xml:space="preserve"> 31</w:t>
      </w:r>
      <w:r w:rsidR="009A27C6" w:rsidRPr="00024A9E">
        <w:rPr>
          <w:b w:val="0"/>
          <w:sz w:val="22"/>
          <w:szCs w:val="22"/>
        </w:rPr>
        <w:t xml:space="preserve">, 2017, compared to </w:t>
      </w:r>
      <w:r w:rsidR="00890A4D" w:rsidRPr="00024A9E">
        <w:rPr>
          <w:b w:val="0"/>
          <w:sz w:val="22"/>
          <w:szCs w:val="22"/>
        </w:rPr>
        <w:t>$466.2</w:t>
      </w:r>
      <w:r w:rsidR="00943410" w:rsidRPr="00024A9E">
        <w:rPr>
          <w:b w:val="0"/>
          <w:sz w:val="22"/>
          <w:szCs w:val="22"/>
        </w:rPr>
        <w:t xml:space="preserve"> </w:t>
      </w:r>
      <w:r w:rsidRPr="00024A9E">
        <w:rPr>
          <w:b w:val="0"/>
          <w:sz w:val="22"/>
          <w:szCs w:val="22"/>
        </w:rPr>
        <w:t xml:space="preserve">million a year earlier.  </w:t>
      </w:r>
    </w:p>
    <w:p w14:paraId="2F117795" w14:textId="55DB09CB" w:rsidR="00205368" w:rsidRPr="00024A9E" w:rsidRDefault="00205368" w:rsidP="00024A9E">
      <w:pPr>
        <w:pStyle w:val="BodyText"/>
        <w:numPr>
          <w:ilvl w:val="0"/>
          <w:numId w:val="1"/>
        </w:numPr>
        <w:tabs>
          <w:tab w:val="left" w:pos="288"/>
          <w:tab w:val="left" w:pos="1152"/>
          <w:tab w:val="left" w:pos="1296"/>
          <w:tab w:val="left" w:pos="1440"/>
          <w:tab w:val="left" w:pos="1872"/>
          <w:tab w:val="left" w:pos="2016"/>
          <w:tab w:val="left" w:pos="2160"/>
          <w:tab w:val="left" w:pos="2880"/>
          <w:tab w:val="left" w:pos="3024"/>
          <w:tab w:val="left" w:pos="3312"/>
          <w:tab w:val="left" w:pos="3600"/>
          <w:tab w:val="left" w:pos="4752"/>
          <w:tab w:val="left" w:pos="4896"/>
          <w:tab w:val="left" w:pos="5040"/>
          <w:tab w:val="left" w:pos="5328"/>
          <w:tab w:val="left" w:pos="9216"/>
        </w:tabs>
        <w:jc w:val="both"/>
        <w:rPr>
          <w:b w:val="0"/>
          <w:sz w:val="22"/>
          <w:szCs w:val="22"/>
        </w:rPr>
      </w:pPr>
      <w:r w:rsidRPr="00024A9E">
        <w:rPr>
          <w:b w:val="0"/>
          <w:sz w:val="22"/>
          <w:szCs w:val="22"/>
        </w:rPr>
        <w:t xml:space="preserve">Commercial </w:t>
      </w:r>
      <w:r w:rsidR="00943410" w:rsidRPr="00024A9E">
        <w:rPr>
          <w:b w:val="0"/>
          <w:sz w:val="22"/>
          <w:szCs w:val="22"/>
        </w:rPr>
        <w:t>real estat</w:t>
      </w:r>
      <w:r w:rsidR="00890A4D" w:rsidRPr="00024A9E">
        <w:rPr>
          <w:b w:val="0"/>
          <w:sz w:val="22"/>
          <w:szCs w:val="22"/>
        </w:rPr>
        <w:t>e loans increased 13.9</w:t>
      </w:r>
      <w:r w:rsidRPr="00024A9E">
        <w:rPr>
          <w:b w:val="0"/>
          <w:sz w:val="22"/>
          <w:szCs w:val="22"/>
        </w:rPr>
        <w:t>% t</w:t>
      </w:r>
      <w:r w:rsidR="00890A4D" w:rsidRPr="00024A9E">
        <w:rPr>
          <w:b w:val="0"/>
          <w:sz w:val="22"/>
          <w:szCs w:val="22"/>
        </w:rPr>
        <w:t>o $244.8</w:t>
      </w:r>
      <w:r w:rsidR="00943410" w:rsidRPr="00024A9E">
        <w:rPr>
          <w:b w:val="0"/>
          <w:sz w:val="22"/>
          <w:szCs w:val="22"/>
        </w:rPr>
        <w:t xml:space="preserve"> million</w:t>
      </w:r>
      <w:r w:rsidR="00A85DDD" w:rsidRPr="00024A9E">
        <w:rPr>
          <w:b w:val="0"/>
          <w:sz w:val="22"/>
          <w:szCs w:val="22"/>
        </w:rPr>
        <w:t xml:space="preserve">, </w:t>
      </w:r>
      <w:r w:rsidR="00890A4D" w:rsidRPr="00024A9E">
        <w:rPr>
          <w:b w:val="0"/>
          <w:sz w:val="22"/>
          <w:szCs w:val="22"/>
        </w:rPr>
        <w:t>or 47.7</w:t>
      </w:r>
      <w:r w:rsidR="001232DB" w:rsidRPr="00024A9E">
        <w:rPr>
          <w:b w:val="0"/>
          <w:sz w:val="22"/>
          <w:szCs w:val="22"/>
        </w:rPr>
        <w:t>% of total loans</w:t>
      </w:r>
      <w:r w:rsidR="007D184A" w:rsidRPr="00024A9E">
        <w:rPr>
          <w:b w:val="0"/>
          <w:sz w:val="22"/>
          <w:szCs w:val="22"/>
        </w:rPr>
        <w:t xml:space="preserve"> </w:t>
      </w:r>
      <w:r w:rsidR="00943410" w:rsidRPr="00024A9E">
        <w:rPr>
          <w:b w:val="0"/>
          <w:sz w:val="22"/>
          <w:szCs w:val="22"/>
        </w:rPr>
        <w:t xml:space="preserve">at </w:t>
      </w:r>
      <w:r w:rsidR="00890A4D" w:rsidRPr="00024A9E">
        <w:rPr>
          <w:b w:val="0"/>
          <w:sz w:val="22"/>
          <w:szCs w:val="22"/>
        </w:rPr>
        <w:t>December 31, 2017, compared to $214.9</w:t>
      </w:r>
      <w:r w:rsidR="009A27C6" w:rsidRPr="00024A9E">
        <w:rPr>
          <w:b w:val="0"/>
          <w:sz w:val="22"/>
          <w:szCs w:val="22"/>
        </w:rPr>
        <w:t xml:space="preserve"> </w:t>
      </w:r>
      <w:r w:rsidR="009D237C" w:rsidRPr="00024A9E">
        <w:rPr>
          <w:b w:val="0"/>
          <w:sz w:val="22"/>
          <w:szCs w:val="22"/>
        </w:rPr>
        <w:t>million</w:t>
      </w:r>
      <w:r w:rsidR="009A27C6" w:rsidRPr="00024A9E">
        <w:rPr>
          <w:b w:val="0"/>
          <w:sz w:val="22"/>
          <w:szCs w:val="22"/>
        </w:rPr>
        <w:t xml:space="preserve">, </w:t>
      </w:r>
      <w:r w:rsidR="00890A4D" w:rsidRPr="00024A9E">
        <w:rPr>
          <w:b w:val="0"/>
          <w:sz w:val="22"/>
          <w:szCs w:val="22"/>
        </w:rPr>
        <w:t>or 46.1</w:t>
      </w:r>
      <w:r w:rsidR="001232DB" w:rsidRPr="00024A9E">
        <w:rPr>
          <w:b w:val="0"/>
          <w:sz w:val="22"/>
          <w:szCs w:val="22"/>
        </w:rPr>
        <w:t>% of total loans</w:t>
      </w:r>
      <w:r w:rsidR="009D237C" w:rsidRPr="00024A9E">
        <w:rPr>
          <w:b w:val="0"/>
          <w:sz w:val="22"/>
          <w:szCs w:val="22"/>
        </w:rPr>
        <w:t xml:space="preserve"> a year earlier.</w:t>
      </w:r>
    </w:p>
    <w:p w14:paraId="4C953044" w14:textId="77777777" w:rsidR="00024A9E" w:rsidRDefault="00CE3C73" w:rsidP="00024A9E">
      <w:pPr>
        <w:pStyle w:val="EBMT"/>
        <w:numPr>
          <w:ilvl w:val="0"/>
          <w:numId w:val="1"/>
        </w:numPr>
        <w:jc w:val="both"/>
      </w:pPr>
      <w:r w:rsidRPr="001B67E9">
        <w:t>Capital ratios remain strong</w:t>
      </w:r>
      <w:r w:rsidR="00F747BC" w:rsidRPr="001B67E9">
        <w:t xml:space="preserve"> with a</w:t>
      </w:r>
      <w:r w:rsidR="006556B1" w:rsidRPr="001B67E9">
        <w:t xml:space="preserve"> </w:t>
      </w:r>
      <w:r w:rsidR="00DA434D" w:rsidRPr="001B67E9">
        <w:t xml:space="preserve">tangible </w:t>
      </w:r>
      <w:r w:rsidR="006D4B38" w:rsidRPr="001B67E9">
        <w:t xml:space="preserve">common </w:t>
      </w:r>
      <w:r w:rsidR="00DA434D" w:rsidRPr="001B67E9">
        <w:t>shareholders</w:t>
      </w:r>
      <w:r w:rsidR="00335C9D" w:rsidRPr="001B67E9">
        <w:t>’</w:t>
      </w:r>
      <w:r w:rsidR="00DA434D" w:rsidRPr="001B67E9">
        <w:t xml:space="preserve"> equity</w:t>
      </w:r>
      <w:r w:rsidR="004E3CFD" w:rsidRPr="001B67E9">
        <w:t xml:space="preserve"> ratio of </w:t>
      </w:r>
      <w:r w:rsidR="001B67E9" w:rsidRPr="001B67E9">
        <w:t>10.76</w:t>
      </w:r>
      <w:r w:rsidRPr="001B67E9">
        <w:t>%</w:t>
      </w:r>
      <w:r w:rsidR="00114096" w:rsidRPr="001B67E9">
        <w:t xml:space="preserve"> at </w:t>
      </w:r>
      <w:r w:rsidR="001B67E9" w:rsidRPr="001B67E9">
        <w:t>Dec</w:t>
      </w:r>
      <w:r w:rsidR="00501B2B" w:rsidRPr="001B67E9">
        <w:t>ember</w:t>
      </w:r>
      <w:r w:rsidR="001B67E9" w:rsidRPr="001B67E9">
        <w:t xml:space="preserve"> 31</w:t>
      </w:r>
      <w:r w:rsidR="00335C9D" w:rsidRPr="001B67E9">
        <w:t>, 2017</w:t>
      </w:r>
      <w:r w:rsidRPr="001B67E9">
        <w:t>.</w:t>
      </w:r>
      <w:r w:rsidR="00711DDF" w:rsidRPr="001B67E9">
        <w:t xml:space="preserve"> </w:t>
      </w:r>
    </w:p>
    <w:p w14:paraId="4DBAF77F" w14:textId="32D265B9" w:rsidR="00C23207" w:rsidRDefault="007A483F" w:rsidP="00024A9E">
      <w:pPr>
        <w:pStyle w:val="EBMT"/>
        <w:numPr>
          <w:ilvl w:val="0"/>
          <w:numId w:val="1"/>
        </w:numPr>
        <w:jc w:val="both"/>
      </w:pPr>
      <w:r w:rsidRPr="001B67E9">
        <w:t xml:space="preserve">Declared </w:t>
      </w:r>
      <w:r w:rsidR="002524E4" w:rsidRPr="001B67E9">
        <w:t>quarterly cash divid</w:t>
      </w:r>
      <w:r w:rsidR="004950D1" w:rsidRPr="001B67E9">
        <w:t xml:space="preserve">end </w:t>
      </w:r>
      <w:r w:rsidRPr="001B67E9">
        <w:t xml:space="preserve">of </w:t>
      </w:r>
      <w:r w:rsidR="004950D1" w:rsidRPr="001B67E9">
        <w:t>$0.09</w:t>
      </w:r>
      <w:r w:rsidR="00541121" w:rsidRPr="001B67E9">
        <w:t xml:space="preserve"> per share</w:t>
      </w:r>
      <w:r w:rsidR="004950D1" w:rsidRPr="001B67E9">
        <w:t>.</w:t>
      </w:r>
    </w:p>
    <w:p w14:paraId="0D4DB2A2" w14:textId="77777777" w:rsidR="00B943DF" w:rsidRPr="001B67E9" w:rsidRDefault="00B943DF" w:rsidP="00B943DF">
      <w:pPr>
        <w:pStyle w:val="EBMT"/>
        <w:ind w:left="360"/>
        <w:jc w:val="both"/>
      </w:pPr>
    </w:p>
    <w:p w14:paraId="75E959CB" w14:textId="0792A28E" w:rsidR="00B943DF" w:rsidRDefault="00B943DF" w:rsidP="00276718">
      <w:pPr>
        <w:pStyle w:val="EBMT"/>
        <w:jc w:val="both"/>
      </w:pPr>
      <w:r w:rsidRPr="00B943DF">
        <w:t>As a result of the Tax Cuts and Job Act enacted D</w:t>
      </w:r>
      <w:r>
        <w:t>ecember 22, 2017, Eagle</w:t>
      </w:r>
      <w:r w:rsidRPr="00B943DF">
        <w:t xml:space="preserve"> revalued its deferred tax assets and liabilities to account for the future impact of lower corporate tax rates and other provisions of the legislation. </w:t>
      </w:r>
      <w:r>
        <w:t xml:space="preserve"> </w:t>
      </w:r>
      <w:r w:rsidRPr="00B943DF">
        <w:t xml:space="preserve">Based on its preliminary analysis, </w:t>
      </w:r>
      <w:r>
        <w:t>Eagle</w:t>
      </w:r>
      <w:r w:rsidRPr="00B943DF">
        <w:t xml:space="preserve"> recorded a one-time</w:t>
      </w:r>
      <w:r w:rsidR="00586F08">
        <w:t xml:space="preserve"> net tax charge of $715</w:t>
      </w:r>
      <w:r>
        <w:t>,000</w:t>
      </w:r>
      <w:r w:rsidR="00586F08">
        <w:t>, or $0.15</w:t>
      </w:r>
      <w:r w:rsidRPr="00B943DF">
        <w:t xml:space="preserve"> per share, primarily related to the revaluation of these deferred tax items. This increase in income tax expense was reflected in </w:t>
      </w:r>
      <w:r>
        <w:t>Eagle’s</w:t>
      </w:r>
      <w:r w:rsidRPr="00B943DF">
        <w:t xml:space="preserve"> operating results for the fourth quarter of 2017 and was in addition to the normal provision for income tax related to pre-tax net operating income.</w:t>
      </w:r>
    </w:p>
    <w:p w14:paraId="609B149C" w14:textId="31E4BC8A" w:rsidR="00B943DF" w:rsidRDefault="00B943DF" w:rsidP="00276718">
      <w:pPr>
        <w:pStyle w:val="EBMT"/>
        <w:jc w:val="both"/>
      </w:pPr>
      <w:r w:rsidRPr="00B943DF">
        <w:t xml:space="preserve">“The effective tax rate </w:t>
      </w:r>
      <w:r w:rsidR="00586F08">
        <w:t>for the current year was 22.7</w:t>
      </w:r>
      <w:r w:rsidRPr="00B943DF">
        <w:t xml:space="preserve">% (excluding the 4Q17 DTA charge). </w:t>
      </w:r>
      <w:r>
        <w:t xml:space="preserve"> </w:t>
      </w:r>
      <w:r w:rsidRPr="00B943DF">
        <w:t>We believe our effective tax rate wi</w:t>
      </w:r>
      <w:r w:rsidR="007244FE">
        <w:t xml:space="preserve">ll decline </w:t>
      </w:r>
      <w:r w:rsidR="00586F08">
        <w:t>to approximately 18.3</w:t>
      </w:r>
      <w:r w:rsidRPr="00B943DF">
        <w:t>% in 2018</w:t>
      </w:r>
      <w:r w:rsidR="004927A9">
        <w:t>,</w:t>
      </w:r>
      <w:r w:rsidR="004927A9" w:rsidRPr="004927A9">
        <w:t xml:space="preserve"> including estimated impact of the upcoming acquisition</w:t>
      </w:r>
      <w:r w:rsidR="00097254">
        <w:t xml:space="preserve">. </w:t>
      </w:r>
      <w:r w:rsidRPr="00B943DF">
        <w:t>We plan to invest a portion of our 2018 tax savings into expansion opportunities and other co</w:t>
      </w:r>
      <w:r>
        <w:t>rporate purposes,” added Johnson</w:t>
      </w:r>
      <w:r w:rsidRPr="00B943DF">
        <w:t>.</w:t>
      </w:r>
    </w:p>
    <w:p w14:paraId="791F4367" w14:textId="77777777" w:rsidR="00B943DF" w:rsidRDefault="00B943DF" w:rsidP="00276718">
      <w:pPr>
        <w:pStyle w:val="EBMT"/>
        <w:jc w:val="both"/>
      </w:pPr>
    </w:p>
    <w:p w14:paraId="0A14B757" w14:textId="07FC522E" w:rsidR="006D4B38" w:rsidRPr="00443E9C" w:rsidRDefault="006D4B38" w:rsidP="00276718">
      <w:pPr>
        <w:pStyle w:val="EBMT"/>
        <w:jc w:val="both"/>
        <w:rPr>
          <w:b/>
        </w:rPr>
      </w:pPr>
      <w:r w:rsidRPr="00443E9C">
        <w:rPr>
          <w:b/>
        </w:rPr>
        <w:t>Balance Sheet Results</w:t>
      </w:r>
    </w:p>
    <w:p w14:paraId="57CA4591" w14:textId="53E03EF2" w:rsidR="00BB7BFB" w:rsidRPr="008F3C65" w:rsidRDefault="0086619D" w:rsidP="00276718">
      <w:pPr>
        <w:pStyle w:val="EBMT"/>
        <w:jc w:val="both"/>
        <w:rPr>
          <w:highlight w:val="yellow"/>
        </w:rPr>
      </w:pPr>
      <w:r w:rsidRPr="00443E9C">
        <w:t>“</w:t>
      </w:r>
      <w:r w:rsidR="00443E9C" w:rsidRPr="00443E9C">
        <w:t xml:space="preserve">While the loan portfolio increased modestly compared to the preceding quarter end, Eagle </w:t>
      </w:r>
      <w:r w:rsidR="003E0DA8" w:rsidRPr="00443E9C">
        <w:t>had another quarter of double digit year-over-year loan growth, with the largest increase generated in the commercial real estate loan category</w:t>
      </w:r>
      <w:r w:rsidR="009B71D0" w:rsidRPr="00443E9C">
        <w:t>,</w:t>
      </w:r>
      <w:r w:rsidR="00660290" w:rsidRPr="00443E9C">
        <w:t xml:space="preserve">” said Johnson.  </w:t>
      </w:r>
      <w:r w:rsidR="000E497F" w:rsidRPr="00443E9C">
        <w:t>To</w:t>
      </w:r>
      <w:r w:rsidR="007C15AA" w:rsidRPr="00443E9C">
        <w:t>tal</w:t>
      </w:r>
      <w:r w:rsidR="007C15AA" w:rsidRPr="00947223">
        <w:t xml:space="preserve"> loans </w:t>
      </w:r>
      <w:r w:rsidR="00443E9C">
        <w:t>were</w:t>
      </w:r>
      <w:r w:rsidR="00947223" w:rsidRPr="00947223">
        <w:t xml:space="preserve"> $513.2</w:t>
      </w:r>
      <w:r w:rsidR="00EA7AAB" w:rsidRPr="00947223">
        <w:t xml:space="preserve"> million at </w:t>
      </w:r>
      <w:r w:rsidR="00947223" w:rsidRPr="00947223">
        <w:t>Dec</w:t>
      </w:r>
      <w:r w:rsidR="007C15AA" w:rsidRPr="00947223">
        <w:t>ember</w:t>
      </w:r>
      <w:r w:rsidR="00947223" w:rsidRPr="00947223">
        <w:t xml:space="preserve"> 31</w:t>
      </w:r>
      <w:r w:rsidR="0073690B" w:rsidRPr="00947223">
        <w:t xml:space="preserve">, 2017, </w:t>
      </w:r>
      <w:r w:rsidR="00947223" w:rsidRPr="00947223">
        <w:t>compared to $510.2</w:t>
      </w:r>
      <w:r w:rsidR="00C5289C" w:rsidRPr="00947223">
        <w:t xml:space="preserve"> </w:t>
      </w:r>
      <w:r w:rsidR="000E497F" w:rsidRPr="00947223">
        <w:t>million three months earlier and i</w:t>
      </w:r>
      <w:r w:rsidR="00EB51DE" w:rsidRPr="00947223">
        <w:t>ncreased</w:t>
      </w:r>
      <w:r w:rsidR="004B4A9E" w:rsidRPr="00947223">
        <w:t xml:space="preserve"> 10</w:t>
      </w:r>
      <w:r w:rsidR="00947223" w:rsidRPr="00947223">
        <w:t>.1</w:t>
      </w:r>
      <w:r w:rsidR="00A7138B" w:rsidRPr="00947223">
        <w:t>% compare</w:t>
      </w:r>
      <w:r w:rsidR="00947223" w:rsidRPr="00947223">
        <w:t>d to $466.2</w:t>
      </w:r>
      <w:r w:rsidR="000E497F" w:rsidRPr="00947223">
        <w:t xml:space="preserve"> million a year earlier.  </w:t>
      </w:r>
    </w:p>
    <w:p w14:paraId="05DBB807" w14:textId="01B242E5" w:rsidR="006605AD" w:rsidRPr="000E1948" w:rsidRDefault="00C64758" w:rsidP="000E0AEA">
      <w:pPr>
        <w:pStyle w:val="EBMT"/>
        <w:jc w:val="both"/>
      </w:pPr>
      <w:r w:rsidRPr="007A6624">
        <w:t>Eagle</w:t>
      </w:r>
      <w:r w:rsidR="00EA01B2" w:rsidRPr="007A6624">
        <w:t xml:space="preserve"> originated $</w:t>
      </w:r>
      <w:r w:rsidR="007244FE">
        <w:t>75.9</w:t>
      </w:r>
      <w:r w:rsidR="008625BF" w:rsidRPr="007A6624">
        <w:t xml:space="preserve"> </w:t>
      </w:r>
      <w:r w:rsidR="00BB7BFB" w:rsidRPr="007A6624">
        <w:t xml:space="preserve">million in </w:t>
      </w:r>
      <w:r w:rsidR="007175C5" w:rsidRPr="007A6624">
        <w:t xml:space="preserve">new </w:t>
      </w:r>
      <w:r w:rsidR="00BB7BFB" w:rsidRPr="007A6624">
        <w:t>resi</w:t>
      </w:r>
      <w:r w:rsidR="007175C5" w:rsidRPr="007A6624">
        <w:t>dential mortgages</w:t>
      </w:r>
      <w:r w:rsidR="000C3FD4" w:rsidRPr="007A6624">
        <w:t xml:space="preserve"> during the quarter</w:t>
      </w:r>
      <w:r w:rsidR="007175C5" w:rsidRPr="007A6624">
        <w:t>, excluding</w:t>
      </w:r>
      <w:r w:rsidR="00BB7BFB" w:rsidRPr="007A6624">
        <w:t xml:space="preserve"> construct</w:t>
      </w:r>
      <w:r w:rsidR="007175C5" w:rsidRPr="007A6624">
        <w:t>ion</w:t>
      </w:r>
      <w:r w:rsidR="00316167" w:rsidRPr="007A6624">
        <w:t xml:space="preserve"> loans</w:t>
      </w:r>
      <w:r w:rsidR="007175C5" w:rsidRPr="007A6624">
        <w:t>, and</w:t>
      </w:r>
      <w:r w:rsidR="00EA01B2" w:rsidRPr="007A6624">
        <w:t xml:space="preserve"> sold $</w:t>
      </w:r>
      <w:r w:rsidR="007244FE">
        <w:t>73.2</w:t>
      </w:r>
      <w:r w:rsidR="0078077A" w:rsidRPr="007A6624">
        <w:t xml:space="preserve"> </w:t>
      </w:r>
      <w:r w:rsidR="00BB7BFB" w:rsidRPr="007A6624">
        <w:t>million</w:t>
      </w:r>
      <w:r w:rsidR="007175C5" w:rsidRPr="007A6624">
        <w:t xml:space="preserve"> in residential mortgages</w:t>
      </w:r>
      <w:r w:rsidR="00796969" w:rsidRPr="007A6624">
        <w:t>, with an average gross margin on sale of mor</w:t>
      </w:r>
      <w:r w:rsidR="001C2AA1" w:rsidRPr="007A6624">
        <w:t>t</w:t>
      </w:r>
      <w:r w:rsidR="000B1BF5" w:rsidRPr="007A6624">
        <w:t>gage loans of ap</w:t>
      </w:r>
      <w:r w:rsidR="00813F82" w:rsidRPr="007A6624">
        <w:t xml:space="preserve">proximately </w:t>
      </w:r>
      <w:r w:rsidR="007244FE">
        <w:t>2.92</w:t>
      </w:r>
      <w:r w:rsidR="00796969" w:rsidRPr="007A6624">
        <w:t>%</w:t>
      </w:r>
      <w:r w:rsidR="00BB7BFB" w:rsidRPr="007A6624">
        <w:t xml:space="preserve">.  This </w:t>
      </w:r>
      <w:r w:rsidR="00182699" w:rsidRPr="007A6624">
        <w:t xml:space="preserve">production </w:t>
      </w:r>
      <w:r w:rsidR="00BB7BFB" w:rsidRPr="007A6624">
        <w:t>compares to</w:t>
      </w:r>
      <w:r w:rsidR="007175C5" w:rsidRPr="007A6624">
        <w:t xml:space="preserve"> residentia</w:t>
      </w:r>
      <w:r w:rsidR="00360431" w:rsidRPr="007A6624">
        <w:t>l mortgage originatio</w:t>
      </w:r>
      <w:r w:rsidR="000B1BF5" w:rsidRPr="007A6624">
        <w:t>ns of $</w:t>
      </w:r>
      <w:r w:rsidR="007A6624" w:rsidRPr="007A6624">
        <w:t>84.9</w:t>
      </w:r>
      <w:r w:rsidR="007175C5" w:rsidRPr="007A6624">
        <w:t xml:space="preserve"> million in the prece</w:t>
      </w:r>
      <w:r w:rsidR="00B77EE5" w:rsidRPr="007A6624">
        <w:t xml:space="preserve">ding quarter with </w:t>
      </w:r>
      <w:r w:rsidR="007C15AA" w:rsidRPr="000E1948">
        <w:t xml:space="preserve">sales </w:t>
      </w:r>
      <w:r w:rsidR="007A6624" w:rsidRPr="000E1948">
        <w:t>of $85.3</w:t>
      </w:r>
      <w:r w:rsidR="00A7138B" w:rsidRPr="000E1948">
        <w:t xml:space="preserve"> millio</w:t>
      </w:r>
      <w:r w:rsidRPr="000E1948">
        <w:t>n.</w:t>
      </w:r>
      <w:r w:rsidR="00796969" w:rsidRPr="000E1948">
        <w:t xml:space="preserve"> </w:t>
      </w:r>
    </w:p>
    <w:p w14:paraId="592F8AAE" w14:textId="0B9793DD" w:rsidR="00300695" w:rsidRPr="008F3C65" w:rsidRDefault="009C69BA" w:rsidP="000E0AEA">
      <w:pPr>
        <w:pStyle w:val="EBMT"/>
        <w:jc w:val="both"/>
        <w:rPr>
          <w:highlight w:val="yellow"/>
        </w:rPr>
      </w:pPr>
      <w:r w:rsidRPr="000E1948">
        <w:t>C</w:t>
      </w:r>
      <w:r w:rsidR="005901C6" w:rsidRPr="000E1948">
        <w:t>ommercial real estate loa</w:t>
      </w:r>
      <w:r w:rsidR="00C125E2" w:rsidRPr="000E1948">
        <w:t>ns</w:t>
      </w:r>
      <w:r w:rsidR="000E1948" w:rsidRPr="000E1948">
        <w:t xml:space="preserve"> increased 13.9% to $244.8</w:t>
      </w:r>
      <w:r w:rsidR="005A75B6" w:rsidRPr="000E1948">
        <w:t xml:space="preserve"> million </w:t>
      </w:r>
      <w:r w:rsidR="00B77EE5" w:rsidRPr="000E1948">
        <w:t xml:space="preserve">at </w:t>
      </w:r>
      <w:r w:rsidR="000E1948" w:rsidRPr="000E1948">
        <w:t>Dec</w:t>
      </w:r>
      <w:r w:rsidR="00300695" w:rsidRPr="000E1948">
        <w:t xml:space="preserve">ember </w:t>
      </w:r>
      <w:r w:rsidR="000E1948" w:rsidRPr="000E1948">
        <w:t>31</w:t>
      </w:r>
      <w:r w:rsidR="0022642E" w:rsidRPr="000E1948">
        <w:t>, 2017</w:t>
      </w:r>
      <w:r w:rsidR="00DC0EE1" w:rsidRPr="000E1948">
        <w:t>,</w:t>
      </w:r>
      <w:r w:rsidR="00B808A6" w:rsidRPr="000E1948">
        <w:t xml:space="preserve"> com</w:t>
      </w:r>
      <w:r w:rsidR="000E1948" w:rsidRPr="000E1948">
        <w:t>pared to $214.9</w:t>
      </w:r>
      <w:r w:rsidR="007E77D6" w:rsidRPr="000E1948">
        <w:t xml:space="preserve"> </w:t>
      </w:r>
      <w:r w:rsidR="005E325D" w:rsidRPr="000E1948">
        <w:t>million a</w:t>
      </w:r>
      <w:r w:rsidR="00597BF0" w:rsidRPr="000E1948">
        <w:t xml:space="preserve"> year earlier</w:t>
      </w:r>
      <w:r w:rsidR="001446D1" w:rsidRPr="000E1948">
        <w:t>,</w:t>
      </w:r>
      <w:r w:rsidRPr="000E1948">
        <w:t xml:space="preserve"> while </w:t>
      </w:r>
      <w:r w:rsidR="00C125E2" w:rsidRPr="000E1948">
        <w:t>r</w:t>
      </w:r>
      <w:r w:rsidR="009D3A73" w:rsidRPr="000E1948">
        <w:t>esident</w:t>
      </w:r>
      <w:r w:rsidR="00927E28" w:rsidRPr="000E1948">
        <w:t>i</w:t>
      </w:r>
      <w:r w:rsidR="006605AD" w:rsidRPr="000E1948">
        <w:t xml:space="preserve">al mortgage loans </w:t>
      </w:r>
      <w:r w:rsidR="00300695" w:rsidRPr="000E1948">
        <w:t>decreased 3</w:t>
      </w:r>
      <w:r w:rsidR="000E1948" w:rsidRPr="000E1948">
        <w:t>.0</w:t>
      </w:r>
      <w:r w:rsidR="005C3C58" w:rsidRPr="000E1948">
        <w:t>%</w:t>
      </w:r>
      <w:r w:rsidR="004250A0" w:rsidRPr="000E1948">
        <w:t xml:space="preserve"> to </w:t>
      </w:r>
      <w:r w:rsidR="00BA3E51" w:rsidRPr="000E1948">
        <w:t>$</w:t>
      </w:r>
      <w:r w:rsidR="000E1948" w:rsidRPr="000E1948">
        <w:t>109</w:t>
      </w:r>
      <w:r w:rsidR="00947223">
        <w:t>.</w:t>
      </w:r>
      <w:r w:rsidR="000E1948" w:rsidRPr="000E1948">
        <w:t>9</w:t>
      </w:r>
      <w:r w:rsidR="00424C21" w:rsidRPr="000E1948">
        <w:t> </w:t>
      </w:r>
      <w:r w:rsidR="005E325D" w:rsidRPr="000E1948">
        <w:t>million</w:t>
      </w:r>
      <w:r w:rsidR="00300695" w:rsidRPr="000E1948">
        <w:t xml:space="preserve"> compared to $113.3</w:t>
      </w:r>
      <w:r w:rsidR="005E325D" w:rsidRPr="000E1948">
        <w:t xml:space="preserve"> </w:t>
      </w:r>
      <w:r w:rsidR="006902B8" w:rsidRPr="000E1948">
        <w:t>million a year earlier.</w:t>
      </w:r>
      <w:r w:rsidR="00C125E2" w:rsidRPr="000E1948">
        <w:t xml:space="preserve">  </w:t>
      </w:r>
      <w:r w:rsidR="005C3C58" w:rsidRPr="000E1948">
        <w:t xml:space="preserve">Commercial loans </w:t>
      </w:r>
      <w:r w:rsidR="000E1948" w:rsidRPr="000E1948">
        <w:t>increased 20.4</w:t>
      </w:r>
      <w:r w:rsidR="005C3C58" w:rsidRPr="000E1948">
        <w:t xml:space="preserve">% to </w:t>
      </w:r>
      <w:r w:rsidR="000E1948" w:rsidRPr="000E1948">
        <w:t>$65.9</w:t>
      </w:r>
      <w:r w:rsidR="00287E62" w:rsidRPr="000E1948">
        <w:t xml:space="preserve"> million,</w:t>
      </w:r>
      <w:r w:rsidR="0022642E" w:rsidRPr="000E1948">
        <w:t xml:space="preserve"> home equity loans</w:t>
      </w:r>
      <w:r w:rsidR="000E1948" w:rsidRPr="000E1948">
        <w:t xml:space="preserve"> increased 7.5% to $52.7</w:t>
      </w:r>
      <w:r w:rsidR="00C5289C" w:rsidRPr="000E1948">
        <w:t xml:space="preserve"> mil</w:t>
      </w:r>
      <w:r w:rsidR="00287E62" w:rsidRPr="000E1948">
        <w:t>lion</w:t>
      </w:r>
      <w:r w:rsidR="006605AD" w:rsidRPr="000E1948">
        <w:t xml:space="preserve"> and c</w:t>
      </w:r>
      <w:r w:rsidR="00A7138B" w:rsidRPr="000E1948">
        <w:t>onstruc</w:t>
      </w:r>
      <w:r w:rsidR="000E1948" w:rsidRPr="000E1948">
        <w:t>tion loans increased 23.2% to $25.3</w:t>
      </w:r>
      <w:r w:rsidR="006605AD" w:rsidRPr="000E1948">
        <w:t xml:space="preserve"> million, </w:t>
      </w:r>
      <w:r w:rsidR="00ED36CB" w:rsidRPr="000E1948">
        <w:t>compared to a year ago.</w:t>
      </w:r>
    </w:p>
    <w:p w14:paraId="0FE82083" w14:textId="082523DB" w:rsidR="007929B5" w:rsidRPr="008F3C65" w:rsidRDefault="00D97B57" w:rsidP="000E0AEA">
      <w:pPr>
        <w:pStyle w:val="EBMT"/>
        <w:jc w:val="both"/>
        <w:rPr>
          <w:highlight w:val="yellow"/>
        </w:rPr>
      </w:pPr>
      <w:r w:rsidRPr="004122D9">
        <w:t>Eagle’s t</w:t>
      </w:r>
      <w:r w:rsidR="006A30FB" w:rsidRPr="004122D9">
        <w:t>otal deposits</w:t>
      </w:r>
      <w:r w:rsidR="004122D9" w:rsidRPr="004122D9">
        <w:t xml:space="preserve"> were $520.6</w:t>
      </w:r>
      <w:r w:rsidR="00C86BE0" w:rsidRPr="004122D9">
        <w:t xml:space="preserve"> </w:t>
      </w:r>
      <w:r w:rsidR="004122D9" w:rsidRPr="004122D9">
        <w:t>million at December 31</w:t>
      </w:r>
      <w:r w:rsidR="00C261F4" w:rsidRPr="004122D9">
        <w:t xml:space="preserve">, </w:t>
      </w:r>
      <w:r w:rsidR="006624F1" w:rsidRPr="004122D9">
        <w:t>2017</w:t>
      </w:r>
      <w:r w:rsidR="001446D1" w:rsidRPr="004122D9">
        <w:t>,</w:t>
      </w:r>
      <w:r w:rsidR="00C261F4" w:rsidRPr="004122D9">
        <w:t xml:space="preserve"> </w:t>
      </w:r>
      <w:r w:rsidR="005E325D" w:rsidRPr="004122D9">
        <w:t xml:space="preserve">compared </w:t>
      </w:r>
      <w:r w:rsidR="00217F5D" w:rsidRPr="004122D9">
        <w:t>to</w:t>
      </w:r>
      <w:r w:rsidR="007B5F82" w:rsidRPr="004122D9">
        <w:t xml:space="preserve"> </w:t>
      </w:r>
      <w:r w:rsidR="004122D9" w:rsidRPr="004122D9">
        <w:t>$525.2</w:t>
      </w:r>
      <w:r w:rsidR="00091213" w:rsidRPr="004122D9">
        <w:t xml:space="preserve"> million </w:t>
      </w:r>
      <w:r w:rsidR="006624F1" w:rsidRPr="004122D9">
        <w:t>a</w:t>
      </w:r>
      <w:r w:rsidR="004122D9" w:rsidRPr="004122D9">
        <w:t>t September</w:t>
      </w:r>
      <w:r w:rsidR="00DC0221" w:rsidRPr="004122D9">
        <w:t xml:space="preserve"> 30, 2017 and </w:t>
      </w:r>
      <w:r w:rsidR="004122D9" w:rsidRPr="004122D9">
        <w:t>increased 1.5% compared to $512.8</w:t>
      </w:r>
      <w:r w:rsidR="00DC0221" w:rsidRPr="004122D9">
        <w:t xml:space="preserve"> million a </w:t>
      </w:r>
      <w:r w:rsidR="00DC0221" w:rsidRPr="00516577">
        <w:t>year ago.</w:t>
      </w:r>
      <w:r w:rsidR="006624F1" w:rsidRPr="00516577">
        <w:t xml:space="preserve"> </w:t>
      </w:r>
      <w:r w:rsidR="00DC0221" w:rsidRPr="00516577">
        <w:t xml:space="preserve"> </w:t>
      </w:r>
      <w:r w:rsidR="002905C5" w:rsidRPr="00516577">
        <w:t xml:space="preserve">As of </w:t>
      </w:r>
      <w:r w:rsidR="00516577" w:rsidRPr="00516577">
        <w:t>year</w:t>
      </w:r>
      <w:r w:rsidR="00805082" w:rsidRPr="00516577">
        <w:t>-end</w:t>
      </w:r>
      <w:r w:rsidR="00BA1C38" w:rsidRPr="00516577">
        <w:t>, c</w:t>
      </w:r>
      <w:r w:rsidR="00CE3C73" w:rsidRPr="00516577">
        <w:t>hecking</w:t>
      </w:r>
      <w:r w:rsidR="006556B1" w:rsidRPr="00516577">
        <w:t xml:space="preserve"> and money market accounts</w:t>
      </w:r>
      <w:r w:rsidR="00CE3C73" w:rsidRPr="00516577">
        <w:t xml:space="preserve"> represent</w:t>
      </w:r>
      <w:r w:rsidR="001556F6" w:rsidRPr="00516577">
        <w:t xml:space="preserve"> </w:t>
      </w:r>
      <w:r w:rsidR="001B6529">
        <w:t>55.5</w:t>
      </w:r>
      <w:r w:rsidR="00F91BD7" w:rsidRPr="00516577">
        <w:t>%</w:t>
      </w:r>
      <w:r w:rsidR="00921061" w:rsidRPr="00516577">
        <w:t>, savings accounts represent</w:t>
      </w:r>
      <w:r w:rsidR="00496387" w:rsidRPr="00516577">
        <w:t xml:space="preserve"> </w:t>
      </w:r>
      <w:r w:rsidR="001B6529">
        <w:t>17.0</w:t>
      </w:r>
      <w:r w:rsidR="00CE3C73" w:rsidRPr="00516577">
        <w:t>%</w:t>
      </w:r>
      <w:r w:rsidR="00EC29BC" w:rsidRPr="00516577">
        <w:t>, and CDs comprise</w:t>
      </w:r>
      <w:r w:rsidR="00496387" w:rsidRPr="00516577">
        <w:t xml:space="preserve"> </w:t>
      </w:r>
      <w:r w:rsidR="007244FE">
        <w:t>27.5</w:t>
      </w:r>
      <w:r w:rsidR="006556B1" w:rsidRPr="00516577">
        <w:t>%</w:t>
      </w:r>
      <w:r w:rsidR="00CE3C73" w:rsidRPr="00516577">
        <w:t xml:space="preserve"> o</w:t>
      </w:r>
      <w:r w:rsidR="000726CA" w:rsidRPr="00516577">
        <w:t>f the total deposit portfolio</w:t>
      </w:r>
      <w:r w:rsidR="00BA1C38" w:rsidRPr="00516577">
        <w:t>.</w:t>
      </w:r>
      <w:r w:rsidR="000726CA" w:rsidRPr="00516577">
        <w:t xml:space="preserve"> </w:t>
      </w:r>
      <w:r w:rsidR="00084693" w:rsidRPr="00516577">
        <w:t xml:space="preserve"> </w:t>
      </w:r>
    </w:p>
    <w:p w14:paraId="5733F943" w14:textId="402BAD46" w:rsidR="00CE3C73" w:rsidRPr="008F3C65" w:rsidRDefault="00D97B57" w:rsidP="000E0AEA">
      <w:pPr>
        <w:pStyle w:val="EBMT"/>
        <w:jc w:val="both"/>
        <w:rPr>
          <w:highlight w:val="yellow"/>
        </w:rPr>
      </w:pPr>
      <w:r w:rsidRPr="00DE4A82">
        <w:t>T</w:t>
      </w:r>
      <w:r w:rsidR="00323A4C" w:rsidRPr="00DE4A82">
        <w:t xml:space="preserve">otal assets </w:t>
      </w:r>
      <w:r w:rsidR="00DE4A82" w:rsidRPr="00764D2F">
        <w:t>increased 6.4% to $716.8</w:t>
      </w:r>
      <w:r w:rsidR="00E25FFC" w:rsidRPr="00764D2F">
        <w:t xml:space="preserve"> million at </w:t>
      </w:r>
      <w:r w:rsidR="00DE4A82" w:rsidRPr="00764D2F">
        <w:t>Dec</w:t>
      </w:r>
      <w:r w:rsidR="008556CB" w:rsidRPr="00764D2F">
        <w:t>ember</w:t>
      </w:r>
      <w:r w:rsidR="00DE4A82" w:rsidRPr="00764D2F">
        <w:t xml:space="preserve"> 31</w:t>
      </w:r>
      <w:r w:rsidR="00E25FFC" w:rsidRPr="00764D2F">
        <w:t>, 2017</w:t>
      </w:r>
      <w:r w:rsidR="002905C5" w:rsidRPr="00764D2F">
        <w:t>, compared t</w:t>
      </w:r>
      <w:r w:rsidR="00323A4C" w:rsidRPr="00764D2F">
        <w:t xml:space="preserve">o </w:t>
      </w:r>
      <w:r w:rsidR="00DE4A82" w:rsidRPr="00764D2F">
        <w:t>$673.9</w:t>
      </w:r>
      <w:r w:rsidR="002905C5" w:rsidRPr="00764D2F">
        <w:t xml:space="preserve"> million a year </w:t>
      </w:r>
      <w:r w:rsidR="00660290" w:rsidRPr="00764D2F">
        <w:t>earlier</w:t>
      </w:r>
      <w:r w:rsidR="00DE4A82" w:rsidRPr="00764D2F">
        <w:t xml:space="preserve"> and</w:t>
      </w:r>
      <w:r w:rsidR="002905C5" w:rsidRPr="00764D2F">
        <w:t xml:space="preserve"> </w:t>
      </w:r>
      <w:r w:rsidR="00DE4A82" w:rsidRPr="00764D2F">
        <w:t xml:space="preserve">increased </w:t>
      </w:r>
      <w:r w:rsidR="00906026">
        <w:t>2.0%</w:t>
      </w:r>
      <w:r w:rsidR="00DE4A82" w:rsidRPr="00764D2F">
        <w:t xml:space="preserve"> compared to $702.6 million at September </w:t>
      </w:r>
      <w:r w:rsidR="008556CB" w:rsidRPr="00764D2F">
        <w:t>30, 2017</w:t>
      </w:r>
      <w:r w:rsidR="002905C5" w:rsidRPr="00764D2F">
        <w:t xml:space="preserve">.  </w:t>
      </w:r>
      <w:r w:rsidR="00C22115" w:rsidRPr="00764D2F">
        <w:t>S</w:t>
      </w:r>
      <w:r w:rsidR="0022100A" w:rsidRPr="00764D2F">
        <w:t>hareholder</w:t>
      </w:r>
      <w:r w:rsidR="00335C9D" w:rsidRPr="00764D2F">
        <w:t xml:space="preserve">s’ equity increased </w:t>
      </w:r>
      <w:r w:rsidR="00764D2F" w:rsidRPr="00764D2F">
        <w:t>32.0</w:t>
      </w:r>
      <w:r w:rsidR="004538D5" w:rsidRPr="00764D2F">
        <w:t>%</w:t>
      </w:r>
      <w:r w:rsidR="00335C9D" w:rsidRPr="00764D2F">
        <w:t xml:space="preserve"> to </w:t>
      </w:r>
      <w:r w:rsidR="001E43B3" w:rsidRPr="00764D2F">
        <w:t>$</w:t>
      </w:r>
      <w:r w:rsidR="00764D2F" w:rsidRPr="00764D2F">
        <w:t>83.6</w:t>
      </w:r>
      <w:r w:rsidR="00B01DBE" w:rsidRPr="00764D2F">
        <w:t xml:space="preserve"> </w:t>
      </w:r>
      <w:r w:rsidR="00CE3C73" w:rsidRPr="00764D2F">
        <w:t>million</w:t>
      </w:r>
      <w:r w:rsidR="001E3FD7" w:rsidRPr="00764D2F">
        <w:t xml:space="preserve"> at </w:t>
      </w:r>
      <w:r w:rsidR="00764D2F" w:rsidRPr="00764D2F">
        <w:t>Dec</w:t>
      </w:r>
      <w:r w:rsidR="008556CB" w:rsidRPr="00764D2F">
        <w:t>ember</w:t>
      </w:r>
      <w:r w:rsidR="00764D2F" w:rsidRPr="00764D2F">
        <w:t xml:space="preserve"> 31</w:t>
      </w:r>
      <w:r w:rsidR="00335C9D" w:rsidRPr="00764D2F">
        <w:t>, 2017</w:t>
      </w:r>
      <w:r w:rsidR="00CE3C73" w:rsidRPr="00764D2F">
        <w:t xml:space="preserve">, </w:t>
      </w:r>
      <w:r w:rsidR="00764D2F" w:rsidRPr="00764D2F">
        <w:t>compared to $63.3</w:t>
      </w:r>
      <w:r w:rsidR="00047DFC" w:rsidRPr="00764D2F">
        <w:t xml:space="preserve"> million</w:t>
      </w:r>
      <w:r w:rsidR="00EA3C60" w:rsidRPr="00764D2F">
        <w:t xml:space="preserve"> </w:t>
      </w:r>
      <w:r w:rsidR="000059AA" w:rsidRPr="00764D2F">
        <w:t xml:space="preserve">three months earlier </w:t>
      </w:r>
      <w:r w:rsidR="002905C5" w:rsidRPr="00764D2F">
        <w:t xml:space="preserve">and </w:t>
      </w:r>
      <w:r w:rsidR="00764D2F" w:rsidRPr="00764D2F">
        <w:t>increased 40.6</w:t>
      </w:r>
      <w:r w:rsidR="004538D5" w:rsidRPr="00764D2F">
        <w:t xml:space="preserve">% compared </w:t>
      </w:r>
      <w:r w:rsidR="00764D2F" w:rsidRPr="00764D2F">
        <w:t>to $59.5</w:t>
      </w:r>
      <w:r w:rsidR="001E43B3" w:rsidRPr="00764D2F">
        <w:t xml:space="preserve"> million one year earlier</w:t>
      </w:r>
      <w:r w:rsidR="00867958" w:rsidRPr="00764D2F">
        <w:t>.  T</w:t>
      </w:r>
      <w:r w:rsidR="00FA4784" w:rsidRPr="00764D2F">
        <w:t xml:space="preserve">angible book value </w:t>
      </w:r>
      <w:r w:rsidR="00764D2F" w:rsidRPr="00764D2F">
        <w:t>improved to $15.22</w:t>
      </w:r>
      <w:r w:rsidR="00453055" w:rsidRPr="00764D2F">
        <w:t xml:space="preserve"> </w:t>
      </w:r>
      <w:r w:rsidR="0006721C" w:rsidRPr="00764D2F">
        <w:t xml:space="preserve">per share </w:t>
      </w:r>
      <w:r w:rsidR="001E3FD7" w:rsidRPr="00764D2F">
        <w:t xml:space="preserve">at </w:t>
      </w:r>
      <w:r w:rsidR="00764D2F" w:rsidRPr="00764D2F">
        <w:t>Dec</w:t>
      </w:r>
      <w:r w:rsidR="008556CB" w:rsidRPr="00764D2F">
        <w:t>ember</w:t>
      </w:r>
      <w:r w:rsidR="00764D2F" w:rsidRPr="00764D2F">
        <w:t xml:space="preserve"> 31</w:t>
      </w:r>
      <w:r w:rsidR="00335C9D" w:rsidRPr="00764D2F">
        <w:t>, 2017</w:t>
      </w:r>
      <w:r w:rsidR="00AF37AB" w:rsidRPr="00764D2F">
        <w:t xml:space="preserve">, </w:t>
      </w:r>
      <w:r w:rsidR="0006721C" w:rsidRPr="00764D2F">
        <w:t>compared to</w:t>
      </w:r>
      <w:r w:rsidR="00841E34" w:rsidRPr="00764D2F">
        <w:t xml:space="preserve"> </w:t>
      </w:r>
      <w:r w:rsidR="008556CB" w:rsidRPr="00764D2F">
        <w:t>$14.</w:t>
      </w:r>
      <w:r w:rsidR="00764D2F" w:rsidRPr="00764D2F">
        <w:t>70</w:t>
      </w:r>
      <w:r w:rsidR="007F59B8" w:rsidRPr="00764D2F">
        <w:t xml:space="preserve"> </w:t>
      </w:r>
      <w:r w:rsidR="00FA4784" w:rsidRPr="00764D2F">
        <w:t xml:space="preserve">per share </w:t>
      </w:r>
      <w:r w:rsidR="000059AA" w:rsidRPr="00764D2F">
        <w:t xml:space="preserve">at </w:t>
      </w:r>
      <w:r w:rsidR="00764D2F" w:rsidRPr="00764D2F">
        <w:t>September</w:t>
      </w:r>
      <w:r w:rsidR="008556CB" w:rsidRPr="00764D2F">
        <w:t xml:space="preserve"> 30</w:t>
      </w:r>
      <w:r w:rsidR="004538D5" w:rsidRPr="00764D2F">
        <w:t>, 2017</w:t>
      </w:r>
      <w:r w:rsidR="001232DB" w:rsidRPr="00764D2F">
        <w:t>,</w:t>
      </w:r>
      <w:r w:rsidR="00B01DBE" w:rsidRPr="00764D2F">
        <w:t xml:space="preserve"> </w:t>
      </w:r>
      <w:r w:rsidR="00261F20" w:rsidRPr="00764D2F">
        <w:t xml:space="preserve">and </w:t>
      </w:r>
      <w:r w:rsidR="00764D2F" w:rsidRPr="00764D2F">
        <w:t>$13.65</w:t>
      </w:r>
      <w:r w:rsidR="00BA1C38" w:rsidRPr="00764D2F">
        <w:t xml:space="preserve"> </w:t>
      </w:r>
      <w:r w:rsidR="00047DFC" w:rsidRPr="00764D2F">
        <w:t>per share a year earlier</w:t>
      </w:r>
      <w:r w:rsidR="0006721C" w:rsidRPr="00764D2F">
        <w:t>.</w:t>
      </w:r>
      <w:r w:rsidR="00FA4784" w:rsidRPr="00764D2F">
        <w:t xml:space="preserve">  </w:t>
      </w:r>
    </w:p>
    <w:p w14:paraId="7FEE579A" w14:textId="77777777" w:rsidR="001747E0" w:rsidRPr="001B3760" w:rsidRDefault="001747E0" w:rsidP="000E0AEA">
      <w:pPr>
        <w:pStyle w:val="NormalWeb"/>
        <w:jc w:val="both"/>
        <w:rPr>
          <w:sz w:val="22"/>
          <w:szCs w:val="22"/>
        </w:rPr>
      </w:pPr>
    </w:p>
    <w:p w14:paraId="75A3AE18" w14:textId="77777777" w:rsidR="00C66732" w:rsidRPr="001B3760" w:rsidRDefault="009E56FC" w:rsidP="003140EF">
      <w:pPr>
        <w:pStyle w:val="NormalWeb"/>
        <w:jc w:val="both"/>
        <w:rPr>
          <w:b/>
          <w:sz w:val="22"/>
          <w:szCs w:val="22"/>
        </w:rPr>
      </w:pPr>
      <w:r w:rsidRPr="001B3760">
        <w:rPr>
          <w:b/>
          <w:sz w:val="22"/>
          <w:szCs w:val="22"/>
        </w:rPr>
        <w:t>Operating Results</w:t>
      </w:r>
    </w:p>
    <w:p w14:paraId="235AD85D" w14:textId="237FE881" w:rsidR="0090056A" w:rsidRPr="006C0A59" w:rsidRDefault="0090056A" w:rsidP="0090056A">
      <w:pPr>
        <w:pStyle w:val="EBMT"/>
        <w:jc w:val="both"/>
      </w:pPr>
      <w:r w:rsidRPr="001B3760">
        <w:t>“</w:t>
      </w:r>
      <w:r w:rsidR="00073B01">
        <w:t xml:space="preserve">While the </w:t>
      </w:r>
      <w:r w:rsidR="00E97C6E" w:rsidRPr="001B3760">
        <w:t>n</w:t>
      </w:r>
      <w:r w:rsidR="001B3760" w:rsidRPr="001B3760">
        <w:t xml:space="preserve">et interest </w:t>
      </w:r>
      <w:r w:rsidR="001B3760" w:rsidRPr="00073B01">
        <w:t>margin contracted two</w:t>
      </w:r>
      <w:r w:rsidR="00E97C6E" w:rsidRPr="00073B01">
        <w:t xml:space="preserve"> basis points compa</w:t>
      </w:r>
      <w:r w:rsidR="00073B01">
        <w:t>red to the preceding quarter, it</w:t>
      </w:r>
      <w:r w:rsidR="001B3760" w:rsidRPr="00073B01">
        <w:t xml:space="preserve"> expanded 17</w:t>
      </w:r>
      <w:r w:rsidR="00E97C6E" w:rsidRPr="00073B01">
        <w:t xml:space="preserve"> basis points compared to the yea</w:t>
      </w:r>
      <w:r w:rsidR="007244FE">
        <w:t>r ago quarter, largely due to improved yields and loan growth</w:t>
      </w:r>
      <w:r w:rsidR="00073B01" w:rsidRPr="00073B01">
        <w:t xml:space="preserve">,” </w:t>
      </w:r>
      <w:r w:rsidRPr="00073B01">
        <w:t xml:space="preserve">Johnson said.  </w:t>
      </w:r>
      <w:bookmarkStart w:id="1" w:name="_Hlk504155497"/>
      <w:r w:rsidRPr="00073B01">
        <w:t>Eagle’s net interes</w:t>
      </w:r>
      <w:r w:rsidR="00144CEE" w:rsidRPr="00073B01">
        <w:t xml:space="preserve">t margin </w:t>
      </w:r>
      <w:r w:rsidR="000F38B8" w:rsidRPr="00073B01">
        <w:t>was 3.78</w:t>
      </w:r>
      <w:r w:rsidR="00A1193E" w:rsidRPr="00073B01">
        <w:t>% in the</w:t>
      </w:r>
      <w:r w:rsidR="000F38B8" w:rsidRPr="00073B01">
        <w:t xml:space="preserve"> fourth</w:t>
      </w:r>
      <w:r w:rsidR="00A1193E" w:rsidRPr="00073B01">
        <w:t xml:space="preserve"> </w:t>
      </w:r>
      <w:r w:rsidRPr="00073B01">
        <w:t>q</w:t>
      </w:r>
      <w:r w:rsidR="00315F1E" w:rsidRPr="00073B01">
        <w:t>uarter</w:t>
      </w:r>
      <w:r w:rsidR="008D1C3C" w:rsidRPr="00073B01">
        <w:t>,</w:t>
      </w:r>
      <w:r w:rsidR="00144CEE" w:rsidRPr="00073B01">
        <w:t xml:space="preserve"> </w:t>
      </w:r>
      <w:r w:rsidR="00A1193E" w:rsidRPr="00073B01">
        <w:t xml:space="preserve">compared to </w:t>
      </w:r>
      <w:r w:rsidR="000F38B8" w:rsidRPr="00073B01">
        <w:t>3.80</w:t>
      </w:r>
      <w:r w:rsidR="003938E1" w:rsidRPr="00073B01">
        <w:t xml:space="preserve">% in </w:t>
      </w:r>
      <w:r w:rsidR="00A1193E" w:rsidRPr="00073B01">
        <w:t>the</w:t>
      </w:r>
      <w:r w:rsidR="00977771" w:rsidRPr="00073B01">
        <w:t xml:space="preserve"> pre</w:t>
      </w:r>
      <w:r w:rsidR="003938E1" w:rsidRPr="00073B01">
        <w:t xml:space="preserve">ceding </w:t>
      </w:r>
      <w:r w:rsidR="00E97C6E" w:rsidRPr="00073B01">
        <w:t>quarter, and</w:t>
      </w:r>
      <w:r w:rsidR="000F38B8" w:rsidRPr="00073B01">
        <w:t xml:space="preserve"> 3.61</w:t>
      </w:r>
      <w:r w:rsidRPr="00073B01">
        <w:t xml:space="preserve">% in the </w:t>
      </w:r>
      <w:r w:rsidR="000F38B8" w:rsidRPr="00073B01">
        <w:t xml:space="preserve">fourth </w:t>
      </w:r>
      <w:r w:rsidRPr="00073B01">
        <w:t>quarter a year ago</w:t>
      </w:r>
      <w:bookmarkEnd w:id="1"/>
      <w:r w:rsidRPr="00073B01">
        <w:t xml:space="preserve">. </w:t>
      </w:r>
      <w:r w:rsidR="00144CEE" w:rsidRPr="00073B01">
        <w:t xml:space="preserve"> </w:t>
      </w:r>
      <w:r w:rsidR="00215366" w:rsidRPr="00073B01">
        <w:t xml:space="preserve">For the full </w:t>
      </w:r>
      <w:r w:rsidR="00215366" w:rsidRPr="007244FE">
        <w:t>year</w:t>
      </w:r>
      <w:r w:rsidR="003938E1" w:rsidRPr="007244FE">
        <w:t>, Eagle’s</w:t>
      </w:r>
      <w:r w:rsidR="002D37EF" w:rsidRPr="007244FE">
        <w:t xml:space="preserve"> net i</w:t>
      </w:r>
      <w:r w:rsidR="00215366" w:rsidRPr="007244FE">
        <w:t xml:space="preserve">nterest margin improved 25 basis points to 3.71% compared to 3.46% in </w:t>
      </w:r>
      <w:r w:rsidR="003938E1" w:rsidRPr="007244FE">
        <w:t xml:space="preserve">2016.  </w:t>
      </w:r>
      <w:r w:rsidRPr="007244FE">
        <w:t>The investment securiti</w:t>
      </w:r>
      <w:r w:rsidR="00EB2D6E" w:rsidRPr="007244FE">
        <w:t xml:space="preserve">es </w:t>
      </w:r>
      <w:r w:rsidR="007A6139" w:rsidRPr="007244FE">
        <w:t>portfolio increased to $132.0</w:t>
      </w:r>
      <w:r w:rsidR="00977771" w:rsidRPr="007244FE">
        <w:t xml:space="preserve"> million at </w:t>
      </w:r>
      <w:r w:rsidR="007A6139" w:rsidRPr="007244FE">
        <w:t>Dec</w:t>
      </w:r>
      <w:r w:rsidR="00EB2D6E" w:rsidRPr="007244FE">
        <w:t xml:space="preserve">ember </w:t>
      </w:r>
      <w:r w:rsidR="007A6139" w:rsidRPr="007244FE">
        <w:t>31</w:t>
      </w:r>
      <w:r w:rsidR="00AD2B33" w:rsidRPr="007244FE">
        <w:t>, 20</w:t>
      </w:r>
      <w:r w:rsidR="007A6139" w:rsidRPr="007244FE">
        <w:t>17, compared to $128.4</w:t>
      </w:r>
      <w:r w:rsidRPr="007244FE">
        <w:t xml:space="preserve"> million a year ago, which </w:t>
      </w:r>
      <w:r w:rsidR="00A40A2D" w:rsidRPr="007244FE">
        <w:t>had a</w:t>
      </w:r>
      <w:r w:rsidR="00097254">
        <w:t xml:space="preserve"> negative</w:t>
      </w:r>
      <w:r w:rsidR="000617F8" w:rsidRPr="007244FE">
        <w:t xml:space="preserve"> impact on</w:t>
      </w:r>
      <w:r w:rsidR="000617F8" w:rsidRPr="007A6139">
        <w:t xml:space="preserve"> the</w:t>
      </w:r>
      <w:r w:rsidRPr="007A6139">
        <w:t xml:space="preserve"> average yields </w:t>
      </w:r>
      <w:r w:rsidRPr="006C0A59">
        <w:t xml:space="preserve">on earning </w:t>
      </w:r>
      <w:r w:rsidR="000617F8" w:rsidRPr="006C0A59">
        <w:t>assets</w:t>
      </w:r>
      <w:r w:rsidRPr="006C0A59">
        <w:t xml:space="preserve">.  </w:t>
      </w:r>
    </w:p>
    <w:p w14:paraId="6F2B352F" w14:textId="72C85F1C" w:rsidR="00024535" w:rsidRPr="008F3C65" w:rsidRDefault="00386CD4" w:rsidP="00BE775F">
      <w:pPr>
        <w:pStyle w:val="EBMT"/>
        <w:jc w:val="both"/>
        <w:rPr>
          <w:highlight w:val="yellow"/>
        </w:rPr>
      </w:pPr>
      <w:r w:rsidRPr="006C0A59">
        <w:t>Eagle’s fourth</w:t>
      </w:r>
      <w:r w:rsidR="00977771" w:rsidRPr="006C0A59">
        <w:t xml:space="preserve"> </w:t>
      </w:r>
      <w:r w:rsidR="007D6A3D" w:rsidRPr="006C0A59">
        <w:t>quarter r</w:t>
      </w:r>
      <w:r w:rsidR="00E22E16" w:rsidRPr="006C0A59">
        <w:t>evenu</w:t>
      </w:r>
      <w:r w:rsidR="00360431" w:rsidRPr="006C0A59">
        <w:t>es</w:t>
      </w:r>
      <w:r w:rsidR="00F72162" w:rsidRPr="006C0A59">
        <w:t xml:space="preserve"> </w:t>
      </w:r>
      <w:r w:rsidR="001B6529">
        <w:t>were $9.8 million, compared to $10.1</w:t>
      </w:r>
      <w:r w:rsidR="00E22E16" w:rsidRPr="006C0A59">
        <w:t xml:space="preserve"> </w:t>
      </w:r>
      <w:r w:rsidR="007D6A3D" w:rsidRPr="006C0A59">
        <w:t xml:space="preserve">million in the </w:t>
      </w:r>
      <w:r w:rsidR="00E22E16" w:rsidRPr="006C0A59">
        <w:t>preceding quarter and</w:t>
      </w:r>
      <w:r w:rsidRPr="006C0A59">
        <w:t xml:space="preserve"> </w:t>
      </w:r>
      <w:r w:rsidR="001B6529">
        <w:t>$10.2</w:t>
      </w:r>
      <w:r w:rsidR="006C0A59" w:rsidRPr="006C0A59">
        <w:t xml:space="preserve"> million in the fourth</w:t>
      </w:r>
      <w:r w:rsidR="00977771" w:rsidRPr="006C0A59">
        <w:t xml:space="preserve"> quarter a </w:t>
      </w:r>
      <w:r w:rsidR="00E22E16" w:rsidRPr="006C0A59">
        <w:t>year ago</w:t>
      </w:r>
      <w:r w:rsidR="00977771" w:rsidRPr="006C0A59">
        <w:t xml:space="preserve">.  </w:t>
      </w:r>
      <w:r w:rsidR="006C0A59" w:rsidRPr="006C0A59">
        <w:t>For the full year</w:t>
      </w:r>
      <w:r w:rsidR="006C0A59">
        <w:t xml:space="preserve"> 2017</w:t>
      </w:r>
      <w:r w:rsidR="001B6529">
        <w:t>, revenues increased 3.6</w:t>
      </w:r>
      <w:r w:rsidR="006C0A59" w:rsidRPr="006C0A59">
        <w:t>% to</w:t>
      </w:r>
      <w:r w:rsidR="001B6529">
        <w:t xml:space="preserve"> $38.1 million compared to $36.8</w:t>
      </w:r>
      <w:r w:rsidR="006C0A59" w:rsidRPr="006C0A59">
        <w:t xml:space="preserve"> million in </w:t>
      </w:r>
      <w:r w:rsidR="00593D03" w:rsidRPr="00FC609D">
        <w:t xml:space="preserve">2016.  </w:t>
      </w:r>
      <w:r w:rsidR="00261229" w:rsidRPr="00FC609D">
        <w:t>N</w:t>
      </w:r>
      <w:r w:rsidR="009E56FC" w:rsidRPr="00FC609D">
        <w:t>et interest income befo</w:t>
      </w:r>
      <w:r w:rsidR="002858F5" w:rsidRPr="00FC609D">
        <w:t>re the provis</w:t>
      </w:r>
      <w:r w:rsidR="00C56F08" w:rsidRPr="00FC609D">
        <w:t>ion for</w:t>
      </w:r>
      <w:r w:rsidR="0061474C" w:rsidRPr="00FC609D">
        <w:t xml:space="preserve"> loan loss </w:t>
      </w:r>
      <w:r w:rsidR="00FC609D" w:rsidRPr="00FC609D">
        <w:t>increased 12.3</w:t>
      </w:r>
      <w:r w:rsidR="00AA4233" w:rsidRPr="00FC609D">
        <w:t>% to $6.2</w:t>
      </w:r>
      <w:r w:rsidR="006E0599" w:rsidRPr="00FC609D">
        <w:t xml:space="preserve"> million </w:t>
      </w:r>
      <w:r w:rsidR="0076117C" w:rsidRPr="00FC609D">
        <w:t xml:space="preserve">in the </w:t>
      </w:r>
      <w:r w:rsidR="00FC609D" w:rsidRPr="00FC609D">
        <w:t>fourth</w:t>
      </w:r>
      <w:r w:rsidR="007D6A3D" w:rsidRPr="00FC609D">
        <w:t xml:space="preserve"> quarter</w:t>
      </w:r>
      <w:r w:rsidR="00FC609D" w:rsidRPr="00FC609D">
        <w:t xml:space="preserve"> compared to $5.6 million in the fourth</w:t>
      </w:r>
      <w:r w:rsidR="0079014A" w:rsidRPr="00FC609D">
        <w:t xml:space="preserve"> </w:t>
      </w:r>
      <w:r w:rsidR="00817C87" w:rsidRPr="00FC609D">
        <w:t>quarter one year ago,</w:t>
      </w:r>
      <w:r w:rsidR="00BD7107" w:rsidRPr="00FC609D">
        <w:t xml:space="preserve"> and</w:t>
      </w:r>
      <w:r w:rsidR="00817C87" w:rsidRPr="00FC609D">
        <w:t xml:space="preserve"> </w:t>
      </w:r>
      <w:r w:rsidR="00FC609D" w:rsidRPr="00FC609D">
        <w:t>was unchanged when compared to</w:t>
      </w:r>
      <w:r w:rsidR="00AC7A1E" w:rsidRPr="00FC609D">
        <w:t xml:space="preserve"> </w:t>
      </w:r>
      <w:r w:rsidR="00817C87" w:rsidRPr="00FC609D">
        <w:t>the preceding quarter.</w:t>
      </w:r>
      <w:r w:rsidR="0079014A" w:rsidRPr="00FC609D">
        <w:t xml:space="preserve">  </w:t>
      </w:r>
      <w:r w:rsidR="00FC609D" w:rsidRPr="00FC609D">
        <w:t>For the year</w:t>
      </w:r>
      <w:r w:rsidR="0079014A" w:rsidRPr="00FC609D">
        <w:t>, ne</w:t>
      </w:r>
      <w:r w:rsidR="00AA4233" w:rsidRPr="00FC609D">
        <w:t xml:space="preserve">t interest income </w:t>
      </w:r>
      <w:r w:rsidR="00FC609D" w:rsidRPr="00FC609D">
        <w:t>increased 14.3</w:t>
      </w:r>
      <w:r w:rsidR="00AA4233" w:rsidRPr="00FC609D">
        <w:t>% to $</w:t>
      </w:r>
      <w:r w:rsidR="00FC609D" w:rsidRPr="00FC609D">
        <w:t xml:space="preserve">23.8 million, compared to $20.8 million in </w:t>
      </w:r>
      <w:r w:rsidR="0079014A" w:rsidRPr="00FC609D">
        <w:t>2016.</w:t>
      </w:r>
    </w:p>
    <w:p w14:paraId="67A43E43" w14:textId="5F378AC8" w:rsidR="00817C87" w:rsidRPr="008F3C65" w:rsidRDefault="00977771" w:rsidP="007D184A">
      <w:pPr>
        <w:pStyle w:val="EBMT"/>
        <w:jc w:val="both"/>
        <w:rPr>
          <w:highlight w:val="yellow"/>
        </w:rPr>
      </w:pPr>
      <w:r w:rsidRPr="00653CF5">
        <w:t>N</w:t>
      </w:r>
      <w:r w:rsidR="00045389" w:rsidRPr="00653CF5">
        <w:t>oninterest i</w:t>
      </w:r>
      <w:r w:rsidR="0093500B" w:rsidRPr="00653CF5">
        <w:t xml:space="preserve">ncome </w:t>
      </w:r>
      <w:r w:rsidR="00653CF5" w:rsidRPr="00653CF5">
        <w:t>decreased 22.5% to $3.6</w:t>
      </w:r>
      <w:r w:rsidR="00735DCD" w:rsidRPr="00653CF5">
        <w:t xml:space="preserve"> </w:t>
      </w:r>
      <w:r w:rsidR="00D163BA" w:rsidRPr="00653CF5">
        <w:t>m</w:t>
      </w:r>
      <w:r w:rsidR="008B1104" w:rsidRPr="00653CF5">
        <w:t xml:space="preserve">illion </w:t>
      </w:r>
      <w:r w:rsidR="002A557C" w:rsidRPr="00653CF5">
        <w:t>in the</w:t>
      </w:r>
      <w:r w:rsidR="00653CF5" w:rsidRPr="00653CF5">
        <w:t xml:space="preserve"> fourth</w:t>
      </w:r>
      <w:r w:rsidR="0041176E" w:rsidRPr="00653CF5">
        <w:t xml:space="preserve"> quarter</w:t>
      </w:r>
      <w:r w:rsidR="00817C87" w:rsidRPr="00653CF5">
        <w:t>, compa</w:t>
      </w:r>
      <w:r w:rsidR="00653CF5" w:rsidRPr="00653CF5">
        <w:t>red to $4.6</w:t>
      </w:r>
      <w:r w:rsidR="0079014A" w:rsidRPr="00653CF5">
        <w:t xml:space="preserve"> millio</w:t>
      </w:r>
      <w:r w:rsidR="00653CF5" w:rsidRPr="00653CF5">
        <w:t>n in the fourth</w:t>
      </w:r>
      <w:r w:rsidR="0013362A" w:rsidRPr="00653CF5">
        <w:t xml:space="preserve"> quarter</w:t>
      </w:r>
      <w:r w:rsidR="00653CF5" w:rsidRPr="00653CF5">
        <w:t xml:space="preserve"> a year ago, and decreased 10.6</w:t>
      </w:r>
      <w:r w:rsidR="00C049DC" w:rsidRPr="00653CF5">
        <w:t>% compared to</w:t>
      </w:r>
      <w:r w:rsidR="00653CF5" w:rsidRPr="00653CF5">
        <w:t xml:space="preserve"> $4.0</w:t>
      </w:r>
      <w:r w:rsidR="0013362A" w:rsidRPr="00653CF5">
        <w:t xml:space="preserve"> million in the</w:t>
      </w:r>
      <w:r w:rsidR="00045389" w:rsidRPr="00653CF5">
        <w:t xml:space="preserve"> preceding quarter</w:t>
      </w:r>
      <w:r w:rsidRPr="00653CF5">
        <w:t>.</w:t>
      </w:r>
      <w:r w:rsidR="00277DC6" w:rsidRPr="00653CF5">
        <w:t xml:space="preserve"> </w:t>
      </w:r>
      <w:r w:rsidR="00103E49" w:rsidRPr="00653CF5">
        <w:t xml:space="preserve"> </w:t>
      </w:r>
      <w:r w:rsidR="00817C87" w:rsidRPr="00653CF5">
        <w:t>The n</w:t>
      </w:r>
      <w:r w:rsidR="001E7A32" w:rsidRPr="00653CF5">
        <w:t>et gain on sale of mortgage loans</w:t>
      </w:r>
      <w:r w:rsidR="00653CF5" w:rsidRPr="00653CF5">
        <w:t xml:space="preserve"> totaled $2.1</w:t>
      </w:r>
      <w:r w:rsidR="00817C87" w:rsidRPr="00653CF5">
        <w:t xml:space="preserve"> million in the</w:t>
      </w:r>
      <w:r w:rsidR="0079014A" w:rsidRPr="00653CF5">
        <w:t xml:space="preserve"> </w:t>
      </w:r>
      <w:r w:rsidR="00653CF5" w:rsidRPr="00653CF5">
        <w:t>fourth quarter, compared to $2.6</w:t>
      </w:r>
      <w:r w:rsidR="00817C87" w:rsidRPr="00653CF5">
        <w:t xml:space="preserve"> million i</w:t>
      </w:r>
      <w:r w:rsidR="00653CF5" w:rsidRPr="00653CF5">
        <w:t>n the preceding quarter and $3.0</w:t>
      </w:r>
      <w:r w:rsidR="0079014A" w:rsidRPr="00653CF5">
        <w:t xml:space="preserve"> millio</w:t>
      </w:r>
      <w:r w:rsidR="00653CF5" w:rsidRPr="00653CF5">
        <w:t>n in the fourth</w:t>
      </w:r>
      <w:r w:rsidR="0079014A" w:rsidRPr="00653CF5">
        <w:t xml:space="preserve"> </w:t>
      </w:r>
      <w:r w:rsidR="00817C87" w:rsidRPr="00653CF5">
        <w:t>quarter a year ago</w:t>
      </w:r>
      <w:r w:rsidR="00045389" w:rsidRPr="00653CF5">
        <w:t xml:space="preserve">.  </w:t>
      </w:r>
      <w:r w:rsidR="00653CF5" w:rsidRPr="00653CF5">
        <w:t>In</w:t>
      </w:r>
      <w:r w:rsidR="0079014A" w:rsidRPr="00653CF5">
        <w:t xml:space="preserve"> 2017, noninterest income </w:t>
      </w:r>
      <w:r w:rsidR="00653CF5" w:rsidRPr="00653CF5">
        <w:t>decreased to $14.3 million compared to $16.0</w:t>
      </w:r>
      <w:r w:rsidR="00C16CB5" w:rsidRPr="00653CF5">
        <w:t xml:space="preserve"> million in 2016</w:t>
      </w:r>
      <w:r w:rsidR="003E5AB3" w:rsidRPr="00653CF5">
        <w:t xml:space="preserve">, reflecting lower gains from sale of mortgage loans over the past 12 months. </w:t>
      </w:r>
    </w:p>
    <w:p w14:paraId="22F589A7" w14:textId="04D1796A" w:rsidR="001D43FC" w:rsidRPr="008F3C65" w:rsidRDefault="00807527" w:rsidP="007D184A">
      <w:pPr>
        <w:pStyle w:val="EBMT"/>
        <w:jc w:val="both"/>
        <w:rPr>
          <w:highlight w:val="yellow"/>
        </w:rPr>
      </w:pPr>
      <w:r w:rsidRPr="00807527">
        <w:t>Eagle’s fourth</w:t>
      </w:r>
      <w:r w:rsidR="003F5A51" w:rsidRPr="00807527">
        <w:t xml:space="preserve"> </w:t>
      </w:r>
      <w:r w:rsidR="003D29D2" w:rsidRPr="00807527">
        <w:t xml:space="preserve">quarter </w:t>
      </w:r>
      <w:r w:rsidR="00C70A47" w:rsidRPr="00807527">
        <w:t>n</w:t>
      </w:r>
      <w:r w:rsidR="00CD26C1" w:rsidRPr="00807527">
        <w:t>on</w:t>
      </w:r>
      <w:r w:rsidR="009E56FC" w:rsidRPr="00807527">
        <w:t>interest expense</w:t>
      </w:r>
      <w:r w:rsidR="00AF764A" w:rsidRPr="00807527">
        <w:t>s</w:t>
      </w:r>
      <w:r w:rsidR="009E56FC" w:rsidRPr="00807527">
        <w:t xml:space="preserve"> </w:t>
      </w:r>
      <w:r w:rsidR="008850E3" w:rsidRPr="00807527">
        <w:t>were</w:t>
      </w:r>
      <w:r w:rsidR="00162715" w:rsidRPr="00807527">
        <w:t xml:space="preserve"> </w:t>
      </w:r>
      <w:r w:rsidRPr="00807527">
        <w:t xml:space="preserve">$8.0 million compared to </w:t>
      </w:r>
      <w:r w:rsidR="009E56FC" w:rsidRPr="00807527">
        <w:t>$</w:t>
      </w:r>
      <w:r w:rsidR="0079014A" w:rsidRPr="00807527">
        <w:t>7.6</w:t>
      </w:r>
      <w:r w:rsidR="00E57509" w:rsidRPr="00807527">
        <w:t xml:space="preserve"> </w:t>
      </w:r>
      <w:r w:rsidR="009E56FC" w:rsidRPr="00807527">
        <w:t>million</w:t>
      </w:r>
      <w:r w:rsidRPr="00807527">
        <w:t xml:space="preserve"> </w:t>
      </w:r>
      <w:r w:rsidR="0013362A" w:rsidRPr="00807527">
        <w:t xml:space="preserve">in </w:t>
      </w:r>
      <w:r w:rsidRPr="00807527">
        <w:t xml:space="preserve">both </w:t>
      </w:r>
      <w:r w:rsidR="003264BD" w:rsidRPr="00807527">
        <w:t>the preceding quarter</w:t>
      </w:r>
      <w:r w:rsidRPr="00807527">
        <w:t xml:space="preserve"> and the year ago quarter.  For</w:t>
      </w:r>
      <w:r w:rsidR="003264BD" w:rsidRPr="00807527">
        <w:t xml:space="preserve"> 2017</w:t>
      </w:r>
      <w:r w:rsidR="0079014A" w:rsidRPr="00807527">
        <w:t>, no</w:t>
      </w:r>
      <w:r w:rsidRPr="00807527">
        <w:t>ninterest expenses totaled $30.6 million compared to $28.0</w:t>
      </w:r>
      <w:r w:rsidR="0079014A" w:rsidRPr="00807527">
        <w:t xml:space="preserve"> million i</w:t>
      </w:r>
      <w:r w:rsidRPr="00807527">
        <w:t>n 2016</w:t>
      </w:r>
      <w:r w:rsidR="0079014A" w:rsidRPr="00807527">
        <w:t xml:space="preserve">.  </w:t>
      </w:r>
      <w:r>
        <w:t xml:space="preserve">Acquisition costs totaled $400,000 for the current quarter and $676,000 for the year. </w:t>
      </w:r>
    </w:p>
    <w:p w14:paraId="40AE8211" w14:textId="77777777" w:rsidR="00394FEA" w:rsidRPr="003152E4" w:rsidRDefault="00394FEA" w:rsidP="007D184A">
      <w:pPr>
        <w:pStyle w:val="EBMT"/>
        <w:jc w:val="both"/>
      </w:pPr>
    </w:p>
    <w:p w14:paraId="01C09B13" w14:textId="77777777" w:rsidR="00D83D40" w:rsidRPr="004E17C9" w:rsidRDefault="00D83D40" w:rsidP="00D83D40">
      <w:pPr>
        <w:pStyle w:val="NormalWeb"/>
        <w:jc w:val="both"/>
        <w:rPr>
          <w:b/>
          <w:sz w:val="22"/>
          <w:szCs w:val="22"/>
        </w:rPr>
      </w:pPr>
      <w:r w:rsidRPr="004E17C9">
        <w:rPr>
          <w:b/>
          <w:sz w:val="22"/>
          <w:szCs w:val="22"/>
        </w:rPr>
        <w:t xml:space="preserve">Credit Quality </w:t>
      </w:r>
    </w:p>
    <w:p w14:paraId="2E7E9DBF" w14:textId="51D617A6" w:rsidR="00766A89" w:rsidRPr="00F66D64" w:rsidRDefault="000D396C" w:rsidP="00766A89">
      <w:pPr>
        <w:pStyle w:val="EBMT"/>
      </w:pPr>
      <w:r w:rsidRPr="004E17C9">
        <w:t>Fourth</w:t>
      </w:r>
      <w:r w:rsidR="00D83D40" w:rsidRPr="004E17C9">
        <w:t xml:space="preserve"> quarter provision for loan losse</w:t>
      </w:r>
      <w:r w:rsidR="003D556A" w:rsidRPr="004E17C9">
        <w:t xml:space="preserve">s </w:t>
      </w:r>
      <w:r w:rsidR="004E17C9" w:rsidRPr="004E17C9">
        <w:t>was $294</w:t>
      </w:r>
      <w:r w:rsidRPr="004E17C9">
        <w:t>,000, compared to $331</w:t>
      </w:r>
      <w:r w:rsidR="00D83D40" w:rsidRPr="004E17C9">
        <w:t>,000 i</w:t>
      </w:r>
      <w:r w:rsidR="00045683" w:rsidRPr="004E17C9">
        <w:t xml:space="preserve">n the preceding </w:t>
      </w:r>
      <w:r w:rsidR="004E17C9" w:rsidRPr="004E17C9">
        <w:t>quarter and $452,000 in the fourth</w:t>
      </w:r>
      <w:r w:rsidR="003D556A" w:rsidRPr="004E17C9">
        <w:t xml:space="preserve"> </w:t>
      </w:r>
      <w:r w:rsidR="00D83D40" w:rsidRPr="004E17C9">
        <w:t xml:space="preserve">quarter a year ago.  </w:t>
      </w:r>
      <w:r w:rsidR="00293B5E" w:rsidRPr="004E17C9">
        <w:t xml:space="preserve">The </w:t>
      </w:r>
      <w:r w:rsidR="00D83D40" w:rsidRPr="004E17C9">
        <w:t>allowance f</w:t>
      </w:r>
      <w:r w:rsidR="00293B5E" w:rsidRPr="004E17C9">
        <w:t xml:space="preserve">or </w:t>
      </w:r>
      <w:r w:rsidR="00293B5E" w:rsidRPr="00F66D64">
        <w:t xml:space="preserve">loan losses represented </w:t>
      </w:r>
      <w:r w:rsidR="004E17C9" w:rsidRPr="00F66D64">
        <w:t>588.5</w:t>
      </w:r>
      <w:r w:rsidR="00D83D40" w:rsidRPr="00F66D64">
        <w:t xml:space="preserve">% of nonperforming loans </w:t>
      </w:r>
      <w:r w:rsidR="004E17C9" w:rsidRPr="00F66D64">
        <w:t>at Dec</w:t>
      </w:r>
      <w:r w:rsidR="00527751" w:rsidRPr="00F66D64">
        <w:t>ember</w:t>
      </w:r>
      <w:r w:rsidR="004E17C9" w:rsidRPr="00F66D64">
        <w:t xml:space="preserve"> 31</w:t>
      </w:r>
      <w:r w:rsidR="00293B5E" w:rsidRPr="00F66D64">
        <w:t xml:space="preserve">, 2017, </w:t>
      </w:r>
      <w:r w:rsidR="00D83D40" w:rsidRPr="00F66D64">
        <w:t>compare</w:t>
      </w:r>
      <w:r w:rsidR="004E17C9" w:rsidRPr="00F66D64">
        <w:t>d to 394.0</w:t>
      </w:r>
      <w:r w:rsidR="00D83D40" w:rsidRPr="00F66D64">
        <w:t xml:space="preserve">% </w:t>
      </w:r>
      <w:r w:rsidR="00293B5E" w:rsidRPr="00F66D64">
        <w:t xml:space="preserve">three months earlier and </w:t>
      </w:r>
      <w:r w:rsidR="004E17C9" w:rsidRPr="00F66D64">
        <w:t>414.1</w:t>
      </w:r>
      <w:r w:rsidR="00D83D40" w:rsidRPr="00F66D64">
        <w:t xml:space="preserve">% </w:t>
      </w:r>
      <w:r w:rsidR="00045683" w:rsidRPr="00F66D64">
        <w:t xml:space="preserve">a year earlier. </w:t>
      </w:r>
    </w:p>
    <w:p w14:paraId="1592E54D" w14:textId="078B3B53" w:rsidR="00D83D40" w:rsidRPr="00881037" w:rsidRDefault="00881037" w:rsidP="00766A89">
      <w:pPr>
        <w:pStyle w:val="EBMT"/>
        <w:rPr>
          <w:color w:val="000000"/>
        </w:rPr>
      </w:pPr>
      <w:r>
        <w:t>Eagle’s n</w:t>
      </w:r>
      <w:r w:rsidR="00D83D40" w:rsidRPr="00F66D64">
        <w:t>onperforming loans (NPLs) wer</w:t>
      </w:r>
      <w:r w:rsidR="00F66D64" w:rsidRPr="00F66D64">
        <w:t>e $977,000 at the end of the fourth</w:t>
      </w:r>
      <w:r w:rsidR="00293B5E" w:rsidRPr="00F66D64">
        <w:t xml:space="preserve"> quarter, which was </w:t>
      </w:r>
      <w:r w:rsidR="00581B6C" w:rsidRPr="00F66D64">
        <w:t>down</w:t>
      </w:r>
      <w:r w:rsidR="00D60FBE" w:rsidRPr="00F66D64">
        <w:t xml:space="preserve"> </w:t>
      </w:r>
      <w:r w:rsidR="00F66D64" w:rsidRPr="00F66D64">
        <w:t>30.0</w:t>
      </w:r>
      <w:r w:rsidR="00581B6C" w:rsidRPr="00F66D64">
        <w:t xml:space="preserve">% </w:t>
      </w:r>
      <w:r w:rsidR="00D60FBE" w:rsidRPr="00881037">
        <w:t>compared to</w:t>
      </w:r>
      <w:r w:rsidR="00D83D40" w:rsidRPr="00881037">
        <w:t xml:space="preserve"> </w:t>
      </w:r>
      <w:r w:rsidR="00F66D64" w:rsidRPr="00881037">
        <w:t>$1.4</w:t>
      </w:r>
      <w:r w:rsidR="00581B6C" w:rsidRPr="00881037">
        <w:t xml:space="preserve"> million </w:t>
      </w:r>
      <w:r w:rsidR="00D83D40" w:rsidRPr="00881037">
        <w:t>three months earlier, and</w:t>
      </w:r>
      <w:r w:rsidR="00F66D64" w:rsidRPr="00881037">
        <w:t xml:space="preserve"> down 15.2% compared to $1.2</w:t>
      </w:r>
      <w:r w:rsidR="00581B6C" w:rsidRPr="00881037">
        <w:t xml:space="preserve"> </w:t>
      </w:r>
      <w:r w:rsidR="00AC70C2" w:rsidRPr="00881037">
        <w:t>million</w:t>
      </w:r>
      <w:r w:rsidR="002274F5" w:rsidRPr="00881037">
        <w:t xml:space="preserve"> a year earlier</w:t>
      </w:r>
      <w:r w:rsidR="00D83D40" w:rsidRPr="00881037">
        <w:t xml:space="preserve">.    </w:t>
      </w:r>
    </w:p>
    <w:p w14:paraId="3F737FFB" w14:textId="31158CC2" w:rsidR="00D83D40" w:rsidRPr="00131441" w:rsidRDefault="00881037" w:rsidP="00766A89">
      <w:pPr>
        <w:pStyle w:val="EBMT"/>
      </w:pPr>
      <w:r w:rsidRPr="00881037">
        <w:t>N</w:t>
      </w:r>
      <w:r w:rsidR="00F753F8" w:rsidRPr="00881037">
        <w:t>et charg</w:t>
      </w:r>
      <w:r w:rsidRPr="00881037">
        <w:t>e-offs were $44,000 in the fourth</w:t>
      </w:r>
      <w:r w:rsidR="00F753F8" w:rsidRPr="00881037">
        <w:t xml:space="preserve"> </w:t>
      </w:r>
      <w:r w:rsidR="00293B5E" w:rsidRPr="00881037">
        <w:t xml:space="preserve">quarter, </w:t>
      </w:r>
      <w:r w:rsidR="0009259C" w:rsidRPr="00881037">
        <w:t xml:space="preserve">compared </w:t>
      </w:r>
      <w:r w:rsidR="00F753F8" w:rsidRPr="00881037">
        <w:t xml:space="preserve">to </w:t>
      </w:r>
      <w:r w:rsidR="0009259C" w:rsidRPr="00881037">
        <w:t>$</w:t>
      </w:r>
      <w:r w:rsidRPr="00881037">
        <w:t>56</w:t>
      </w:r>
      <w:r w:rsidR="00D83D40" w:rsidRPr="00881037">
        <w:t>,000 i</w:t>
      </w:r>
      <w:r w:rsidR="0009259C" w:rsidRPr="00881037">
        <w:t xml:space="preserve">n the preceding quarter </w:t>
      </w:r>
      <w:r w:rsidR="00293B5E" w:rsidRPr="00881037">
        <w:t>and</w:t>
      </w:r>
      <w:r w:rsidRPr="00881037">
        <w:t xml:space="preserve"> $33</w:t>
      </w:r>
      <w:r w:rsidR="00F753F8" w:rsidRPr="00881037">
        <w:t>2</w:t>
      </w:r>
      <w:r w:rsidR="0009259C" w:rsidRPr="00881037">
        <w:t xml:space="preserve">,000 in the </w:t>
      </w:r>
      <w:r w:rsidRPr="00881037">
        <w:t>fourth</w:t>
      </w:r>
      <w:r w:rsidR="00D60FBE" w:rsidRPr="00881037">
        <w:t xml:space="preserve"> </w:t>
      </w:r>
      <w:r w:rsidR="00D83D40" w:rsidRPr="00881037">
        <w:t>quarter a year ago.  The al</w:t>
      </w:r>
      <w:r w:rsidR="00BA43A4" w:rsidRPr="00881037">
        <w:t xml:space="preserve">lowance for loan losses </w:t>
      </w:r>
      <w:r w:rsidRPr="00881037">
        <w:t>was $5.8</w:t>
      </w:r>
      <w:r w:rsidR="00D83D40" w:rsidRPr="00881037">
        <w:t xml:space="preserve"> million, o</w:t>
      </w:r>
      <w:r w:rsidRPr="00881037">
        <w:t>r 1.12</w:t>
      </w:r>
      <w:r w:rsidR="00D83D40" w:rsidRPr="00881037">
        <w:t xml:space="preserve">% of total loans at </w:t>
      </w:r>
      <w:r w:rsidRPr="00881037">
        <w:t>Dec</w:t>
      </w:r>
      <w:r w:rsidR="001965BC" w:rsidRPr="00881037">
        <w:t>ember</w:t>
      </w:r>
      <w:r w:rsidRPr="00881037">
        <w:t xml:space="preserve"> 31</w:t>
      </w:r>
      <w:r w:rsidR="00D83D40" w:rsidRPr="00881037">
        <w:t xml:space="preserve">, </w:t>
      </w:r>
      <w:r w:rsidR="00F218BD" w:rsidRPr="00881037">
        <w:t>2</w:t>
      </w:r>
      <w:r w:rsidR="000F3FAD" w:rsidRPr="00881037">
        <w:t>017</w:t>
      </w:r>
      <w:r w:rsidRPr="00881037">
        <w:t>, compared to $5.5 million, or 1.08% of total loans at September</w:t>
      </w:r>
      <w:r w:rsidR="001965BC" w:rsidRPr="00881037">
        <w:t xml:space="preserve"> 30</w:t>
      </w:r>
      <w:r w:rsidR="00D60FBE" w:rsidRPr="00881037">
        <w:t>, 2017</w:t>
      </w:r>
      <w:r w:rsidR="00F218BD" w:rsidRPr="00881037">
        <w:t xml:space="preserve"> and </w:t>
      </w:r>
      <w:r w:rsidRPr="00881037">
        <w:t>$4.8</w:t>
      </w:r>
      <w:r w:rsidR="00F218BD" w:rsidRPr="00881037">
        <w:t xml:space="preserve"> million, or </w:t>
      </w:r>
      <w:r w:rsidRPr="00881037">
        <w:t>1.02</w:t>
      </w:r>
      <w:r w:rsidR="00D83D40" w:rsidRPr="00881037">
        <w:t xml:space="preserve">% of total loans a year </w:t>
      </w:r>
      <w:r w:rsidR="00D83D40" w:rsidRPr="00131441">
        <w:t>ago.</w:t>
      </w:r>
    </w:p>
    <w:p w14:paraId="4D01A530" w14:textId="171F2A7E" w:rsidR="00D83D40" w:rsidRPr="00131441" w:rsidRDefault="00D60FBE" w:rsidP="00766A89">
      <w:pPr>
        <w:pStyle w:val="EBMT"/>
      </w:pPr>
      <w:r w:rsidRPr="00131441">
        <w:t>T</w:t>
      </w:r>
      <w:r w:rsidR="000F3FAD" w:rsidRPr="00131441">
        <w:t xml:space="preserve">otal </w:t>
      </w:r>
      <w:r w:rsidR="00D83D40" w:rsidRPr="00131441">
        <w:t xml:space="preserve">OREO and other repossessed assets was </w:t>
      </w:r>
      <w:r w:rsidR="00131441" w:rsidRPr="00131441">
        <w:t>$525</w:t>
      </w:r>
      <w:r w:rsidR="00D83D40" w:rsidRPr="00131441">
        <w:t xml:space="preserve">,000 at </w:t>
      </w:r>
      <w:r w:rsidR="00131441" w:rsidRPr="00131441">
        <w:t>Dec</w:t>
      </w:r>
      <w:r w:rsidR="000A5AAC" w:rsidRPr="00131441">
        <w:t>ember</w:t>
      </w:r>
      <w:r w:rsidR="00131441" w:rsidRPr="00131441">
        <w:t xml:space="preserve"> 31</w:t>
      </w:r>
      <w:r w:rsidR="000F3FAD" w:rsidRPr="00131441">
        <w:t>, 2017</w:t>
      </w:r>
      <w:r w:rsidR="00D83D40" w:rsidRPr="00131441">
        <w:t xml:space="preserve">, </w:t>
      </w:r>
      <w:r w:rsidR="00131441" w:rsidRPr="00131441">
        <w:t>compared to $527</w:t>
      </w:r>
      <w:r w:rsidR="00E051BF" w:rsidRPr="00131441">
        <w:t xml:space="preserve">,000 at </w:t>
      </w:r>
      <w:r w:rsidR="00131441" w:rsidRPr="00131441">
        <w:t>September</w:t>
      </w:r>
      <w:r w:rsidR="000A5AAC" w:rsidRPr="00131441">
        <w:t xml:space="preserve"> 30</w:t>
      </w:r>
      <w:r w:rsidRPr="00131441">
        <w:t xml:space="preserve">, 2017 </w:t>
      </w:r>
      <w:r w:rsidR="00131441" w:rsidRPr="00131441">
        <w:t>and $825</w:t>
      </w:r>
      <w:r w:rsidRPr="00131441">
        <w:t>,000 a year ago</w:t>
      </w:r>
      <w:r w:rsidR="00D83D40" w:rsidRPr="00131441">
        <w:t>.  Nonperforming assets (NPAs), consisting of nonperforming loans, OREO and other repossessed assets, loans delinquent 90 days or mo</w:t>
      </w:r>
      <w:r w:rsidR="00E051BF" w:rsidRPr="00131441">
        <w:t xml:space="preserve">re, and restructured loans, </w:t>
      </w:r>
      <w:r w:rsidR="00131441" w:rsidRPr="00131441">
        <w:t>decreased 21.9% to $1.5</w:t>
      </w:r>
      <w:r w:rsidR="00D83D40" w:rsidRPr="00131441">
        <w:t xml:space="preserve"> million at </w:t>
      </w:r>
      <w:r w:rsidR="00131441" w:rsidRPr="00131441">
        <w:t>December 31</w:t>
      </w:r>
      <w:r w:rsidR="000F3FAD" w:rsidRPr="00131441">
        <w:t>, 2017</w:t>
      </w:r>
      <w:r w:rsidR="00D83D40" w:rsidRPr="00131441">
        <w:t xml:space="preserve"> </w:t>
      </w:r>
      <w:r w:rsidR="00131441" w:rsidRPr="00131441">
        <w:t>or 0.21</w:t>
      </w:r>
      <w:r w:rsidR="00D83D40" w:rsidRPr="00131441">
        <w:t xml:space="preserve">% of total assets, </w:t>
      </w:r>
      <w:r w:rsidR="00131441" w:rsidRPr="00131441">
        <w:t>compared to $1.9</w:t>
      </w:r>
      <w:r w:rsidR="00D83D40" w:rsidRPr="00131441">
        <w:t xml:space="preserve"> million</w:t>
      </w:r>
      <w:r w:rsidR="00131441" w:rsidRPr="00131441">
        <w:t>, or 0.27</w:t>
      </w:r>
      <w:r w:rsidR="000F3FAD" w:rsidRPr="00131441">
        <w:t>%</w:t>
      </w:r>
      <w:r w:rsidR="00D83D40" w:rsidRPr="00131441">
        <w:t xml:space="preserve"> of total assets three months earlier an</w:t>
      </w:r>
      <w:r w:rsidR="00E051BF" w:rsidRPr="00131441">
        <w:t xml:space="preserve">d </w:t>
      </w:r>
      <w:r w:rsidR="00131441" w:rsidRPr="00131441">
        <w:t>decreased 24.0% compared to $2.0 million, or 0.29</w:t>
      </w:r>
      <w:r w:rsidR="00D83D40" w:rsidRPr="00131441">
        <w:t xml:space="preserve">% of total assets a year earlier.  </w:t>
      </w:r>
    </w:p>
    <w:p w14:paraId="532AF695" w14:textId="77777777" w:rsidR="00D83D40" w:rsidRPr="008F3C65" w:rsidRDefault="00D83D40" w:rsidP="00026A5B">
      <w:pPr>
        <w:pStyle w:val="NormalWeb"/>
        <w:jc w:val="both"/>
        <w:rPr>
          <w:sz w:val="22"/>
          <w:szCs w:val="22"/>
          <w:highlight w:val="yellow"/>
        </w:rPr>
      </w:pPr>
    </w:p>
    <w:p w14:paraId="32428B4B" w14:textId="77777777" w:rsidR="00026A5B" w:rsidRPr="00A66988" w:rsidRDefault="00026A5B" w:rsidP="00026A5B">
      <w:pPr>
        <w:pStyle w:val="NormalWeb"/>
        <w:jc w:val="both"/>
        <w:rPr>
          <w:b/>
          <w:sz w:val="22"/>
          <w:szCs w:val="22"/>
        </w:rPr>
      </w:pPr>
      <w:r w:rsidRPr="00A66988">
        <w:rPr>
          <w:b/>
          <w:sz w:val="22"/>
          <w:szCs w:val="22"/>
        </w:rPr>
        <w:t>Capital Management</w:t>
      </w:r>
    </w:p>
    <w:p w14:paraId="3DE69BEE" w14:textId="3A7872A2" w:rsidR="005D229A" w:rsidRPr="00A66988" w:rsidRDefault="00026A5B" w:rsidP="005D229A">
      <w:pPr>
        <w:pStyle w:val="NormalWeb"/>
        <w:jc w:val="both"/>
        <w:rPr>
          <w:sz w:val="22"/>
          <w:szCs w:val="22"/>
        </w:rPr>
      </w:pPr>
      <w:r w:rsidRPr="00A66988">
        <w:rPr>
          <w:sz w:val="22"/>
          <w:szCs w:val="22"/>
        </w:rPr>
        <w:t xml:space="preserve">Eagle Bancorp Montana continues to be well capitalized with the ratio of </w:t>
      </w:r>
      <w:r w:rsidR="006D4B38" w:rsidRPr="00A66988">
        <w:rPr>
          <w:sz w:val="22"/>
          <w:szCs w:val="22"/>
        </w:rPr>
        <w:t xml:space="preserve">tangible common </w:t>
      </w:r>
      <w:r w:rsidRPr="00A66988">
        <w:rPr>
          <w:sz w:val="22"/>
          <w:szCs w:val="22"/>
        </w:rPr>
        <w:t xml:space="preserve">shareholders’ equity to tangible asset of </w:t>
      </w:r>
      <w:r w:rsidR="00A66988" w:rsidRPr="00A66988">
        <w:rPr>
          <w:sz w:val="22"/>
          <w:szCs w:val="22"/>
        </w:rPr>
        <w:t>10.76</w:t>
      </w:r>
      <w:r w:rsidRPr="00A66988">
        <w:rPr>
          <w:sz w:val="22"/>
          <w:szCs w:val="22"/>
        </w:rPr>
        <w:t xml:space="preserve">% at </w:t>
      </w:r>
      <w:r w:rsidR="00A66988" w:rsidRPr="00A66988">
        <w:rPr>
          <w:sz w:val="22"/>
          <w:szCs w:val="22"/>
        </w:rPr>
        <w:t>Dec</w:t>
      </w:r>
      <w:r w:rsidR="00DC39FC" w:rsidRPr="00A66988">
        <w:rPr>
          <w:sz w:val="22"/>
          <w:szCs w:val="22"/>
        </w:rPr>
        <w:t>ember</w:t>
      </w:r>
      <w:r w:rsidR="00A66988" w:rsidRPr="00A66988">
        <w:rPr>
          <w:sz w:val="22"/>
          <w:szCs w:val="22"/>
        </w:rPr>
        <w:t xml:space="preserve"> 31</w:t>
      </w:r>
      <w:r w:rsidR="00447285" w:rsidRPr="00A66988">
        <w:rPr>
          <w:sz w:val="22"/>
          <w:szCs w:val="22"/>
        </w:rPr>
        <w:t xml:space="preserve">, </w:t>
      </w:r>
      <w:r w:rsidR="00293B5E" w:rsidRPr="00A66988">
        <w:rPr>
          <w:sz w:val="22"/>
          <w:szCs w:val="22"/>
        </w:rPr>
        <w:t>2017</w:t>
      </w:r>
      <w:r w:rsidR="006D4B38" w:rsidRPr="00A66988">
        <w:rPr>
          <w:sz w:val="22"/>
          <w:szCs w:val="22"/>
        </w:rPr>
        <w:t>.  (Shareholders’ equity</w:t>
      </w:r>
      <w:r w:rsidRPr="00A66988">
        <w:rPr>
          <w:sz w:val="22"/>
          <w:szCs w:val="22"/>
        </w:rPr>
        <w:t>, less goodwill and core deposit intangible to tangible assets).</w:t>
      </w:r>
    </w:p>
    <w:p w14:paraId="0B83D740" w14:textId="224E2786" w:rsidR="00A66988" w:rsidRPr="00A66988" w:rsidRDefault="00A66988" w:rsidP="000E0AEA">
      <w:pPr>
        <w:pStyle w:val="NormalWeb"/>
        <w:jc w:val="both"/>
        <w:rPr>
          <w:sz w:val="22"/>
          <w:szCs w:val="22"/>
        </w:rPr>
      </w:pPr>
      <w:r>
        <w:rPr>
          <w:sz w:val="22"/>
          <w:szCs w:val="22"/>
        </w:rPr>
        <w:t>O</w:t>
      </w:r>
      <w:r w:rsidRPr="00A66988">
        <w:rPr>
          <w:sz w:val="22"/>
          <w:szCs w:val="22"/>
        </w:rPr>
        <w:t>n October 13, 2017, Eagle successfully completed a public offering of its common stock, and issued 1,189,041 shares and received approximately $20.1 million in net cash proceeds.</w:t>
      </w:r>
    </w:p>
    <w:p w14:paraId="52F8D193" w14:textId="17113DFD" w:rsidR="000C6976" w:rsidRDefault="000C6976" w:rsidP="000E0AEA">
      <w:pPr>
        <w:pStyle w:val="NormalWeb"/>
        <w:jc w:val="both"/>
        <w:rPr>
          <w:sz w:val="22"/>
          <w:szCs w:val="22"/>
        </w:rPr>
      </w:pPr>
      <w:r w:rsidRPr="00A66988">
        <w:rPr>
          <w:sz w:val="22"/>
          <w:szCs w:val="22"/>
        </w:rPr>
        <w:lastRenderedPageBreak/>
        <w:t xml:space="preserve">On February 13, 2017, the Company completed the issuance of $10 million of senior unsecured debt.  The net proceeds of $9.8 million was used as capital contribution to its bank subsidiary to support </w:t>
      </w:r>
      <w:r w:rsidR="00D0119B" w:rsidRPr="00A66988">
        <w:rPr>
          <w:sz w:val="22"/>
          <w:szCs w:val="22"/>
        </w:rPr>
        <w:t>growth.</w:t>
      </w:r>
    </w:p>
    <w:p w14:paraId="2DDDD205" w14:textId="2EE6AB24" w:rsidR="00F25133" w:rsidRDefault="00F25133">
      <w:pPr>
        <w:rPr>
          <w:b/>
          <w:sz w:val="22"/>
          <w:szCs w:val="22"/>
        </w:rPr>
      </w:pPr>
    </w:p>
    <w:p w14:paraId="31CEDCFD" w14:textId="77777777" w:rsidR="00536E36" w:rsidRPr="00496022" w:rsidRDefault="00C207F2" w:rsidP="000E0AEA">
      <w:pPr>
        <w:pStyle w:val="NormalWeb"/>
        <w:jc w:val="both"/>
        <w:rPr>
          <w:b/>
          <w:sz w:val="22"/>
          <w:szCs w:val="22"/>
        </w:rPr>
      </w:pPr>
      <w:r w:rsidRPr="00496022">
        <w:rPr>
          <w:b/>
          <w:sz w:val="22"/>
          <w:szCs w:val="22"/>
        </w:rPr>
        <w:t>About the Company</w:t>
      </w:r>
    </w:p>
    <w:p w14:paraId="6800A136" w14:textId="136703F6" w:rsidR="00961866" w:rsidRDefault="00E33C34" w:rsidP="00793087">
      <w:pPr>
        <w:pStyle w:val="EBMT"/>
        <w:jc w:val="both"/>
      </w:pPr>
      <w:r w:rsidRPr="004B5FF7">
        <w:t xml:space="preserve">Eagle Bancorp Montana, Inc. is a </w:t>
      </w:r>
      <w:r w:rsidR="00947B0E">
        <w:t xml:space="preserve">bank </w:t>
      </w:r>
      <w:r w:rsidRPr="004B5FF7">
        <w:t>holding company headquartered in Helena, Montana and is the holding com</w:t>
      </w:r>
      <w:r w:rsidR="002F1910">
        <w:t>pany of Opportunity</w:t>
      </w:r>
      <w:r w:rsidRPr="004B5FF7">
        <w:t xml:space="preserve"> Bank, a community bank established in 1922 that serves consumers and small </w:t>
      </w:r>
      <w:r w:rsidR="00646D03">
        <w:t xml:space="preserve">businesses in </w:t>
      </w:r>
      <w:r w:rsidR="006D4B38">
        <w:t>Montana through 14</w:t>
      </w:r>
      <w:r w:rsidRPr="008625BF">
        <w:t xml:space="preserve"> banking offices. Additional information is available on the bank’s website at </w:t>
      </w:r>
      <w:hyperlink r:id="rId11" w:history="1">
        <w:r w:rsidR="008625BF" w:rsidRPr="008625BF">
          <w:rPr>
            <w:rStyle w:val="Hyperlink"/>
          </w:rPr>
          <w:t>www.opportunitybank.com</w:t>
        </w:r>
      </w:hyperlink>
      <w:r w:rsidRPr="008625BF">
        <w:t>.  The shares</w:t>
      </w:r>
      <w:r w:rsidRPr="004B5FF7">
        <w:t xml:space="preserve"> of Eagle Bancorp Montana, Inc. </w:t>
      </w:r>
      <w:r w:rsidR="00BE0C79">
        <w:t xml:space="preserve">are traded on the </w:t>
      </w:r>
      <w:r w:rsidR="006E1316">
        <w:t xml:space="preserve">Nasdaq Global </w:t>
      </w:r>
      <w:r w:rsidRPr="004B5FF7">
        <w:t>Market under the symbol “EBMT</w:t>
      </w:r>
      <w:r>
        <w:t>.”</w:t>
      </w:r>
    </w:p>
    <w:p w14:paraId="7B358382" w14:textId="77777777" w:rsidR="0018337D" w:rsidRDefault="0018337D" w:rsidP="00793087">
      <w:pPr>
        <w:pStyle w:val="EBMT"/>
        <w:jc w:val="both"/>
      </w:pPr>
    </w:p>
    <w:p w14:paraId="4F030BD6" w14:textId="77777777" w:rsidR="00C207F2" w:rsidRPr="00602B0E" w:rsidRDefault="00C207F2" w:rsidP="000E0AEA">
      <w:pPr>
        <w:pStyle w:val="NormalWeb"/>
        <w:jc w:val="both"/>
        <w:rPr>
          <w:sz w:val="22"/>
        </w:rPr>
      </w:pPr>
      <w:r w:rsidRPr="00602B0E">
        <w:rPr>
          <w:b/>
          <w:sz w:val="22"/>
        </w:rPr>
        <w:t>Forward Looking Statements</w:t>
      </w:r>
      <w:r w:rsidRPr="00602B0E">
        <w:rPr>
          <w:sz w:val="22"/>
        </w:rPr>
        <w:t xml:space="preserve"> </w:t>
      </w:r>
    </w:p>
    <w:p w14:paraId="42E9E317" w14:textId="05C99562" w:rsidR="00883358" w:rsidRDefault="00C207F2" w:rsidP="00CA5299">
      <w:pPr>
        <w:pStyle w:val="NormalWeb"/>
        <w:jc w:val="both"/>
        <w:rPr>
          <w:i/>
          <w:sz w:val="20"/>
        </w:rPr>
      </w:pPr>
      <w:r w:rsidRPr="0014008F">
        <w:rPr>
          <w:i/>
          <w:sz w:val="20"/>
        </w:rPr>
        <w:t>This release may contain certain "forward-looking statements" within the meaning of Section 27A of the Securities Act of 1933 and Section 21E of the Securities Exchange Act of 1934, and may be identified by the use of such words as "believe,"</w:t>
      </w:r>
      <w:r w:rsidR="008F6E4A">
        <w:rPr>
          <w:i/>
          <w:sz w:val="20"/>
        </w:rPr>
        <w:t xml:space="preserve"> “will”’</w:t>
      </w:r>
      <w:r w:rsidRPr="0014008F">
        <w:rPr>
          <w:i/>
          <w:sz w:val="20"/>
        </w:rPr>
        <w:t xml:space="preserve"> "expect," "anticipate," "should," "planned," "estimated," and "potential." These forward-looking statements include, but are not limited to statements of our goals, intentions and expectations; statements regarding our business plans, prospects,</w:t>
      </w:r>
      <w:r w:rsidR="008F6E4A">
        <w:rPr>
          <w:i/>
          <w:sz w:val="20"/>
        </w:rPr>
        <w:t xml:space="preserve"> merger with Ruby Valley Bank,</w:t>
      </w:r>
      <w:r w:rsidRPr="0014008F">
        <w:rPr>
          <w:i/>
          <w:sz w:val="20"/>
        </w:rPr>
        <w:t xml:space="preserve"> growth and operating strategies; statements regarding the asset quality of our loan and investment portfolios; and estimates of our risks and future costs and benefits. These forward-looking statements are based on current beliefs and expectations of our management and are inherently subject to significant business, economic and competitive uncertainties and contingencies, many of which are beyond our control. In addition, these forward-looking statements are subject to assumptions with respect to future business strategies and decisions that are subject to change. These factors include, but are not limited to, changes in laws or government regulations or policies affecting financial institutions, including changes in regulatory fees and capital requirements; general economic conditions, either nationally or in our market areas, that are worse than expected; competition among depository and other financial institutions; loan demand or residential and commercial real estate values in Montana;</w:t>
      </w:r>
      <w:r w:rsidR="008F6E4A">
        <w:rPr>
          <w:i/>
          <w:sz w:val="20"/>
        </w:rPr>
        <w:t xml:space="preserve"> our ability to continue to  increase and manage our commercial real estate and commercial business loans;</w:t>
      </w:r>
      <w:r w:rsidRPr="0014008F">
        <w:rPr>
          <w:i/>
          <w:sz w:val="20"/>
        </w:rPr>
        <w:t xml:space="preserve"> inflation and changes in the interest rate environment that reduce our margins or reduce the fair value of financial instruments; adverse changes in the securities markets; other economic, governmental, competitive, regulatory and technological factors that may affect our operations</w:t>
      </w:r>
      <w:r w:rsidR="008F6E4A">
        <w:rPr>
          <w:i/>
          <w:sz w:val="20"/>
        </w:rPr>
        <w:t>; the effect of our pending acquisition of TwinCo, Inc. including the failure to achieve expected revenue growth and/or expense savings, the failure to effectively integrate their operations and the diversion of management time on issues related to the proposed merger</w:t>
      </w:r>
      <w:r w:rsidRPr="0014008F">
        <w:rPr>
          <w:i/>
          <w:sz w:val="20"/>
        </w:rPr>
        <w:t>. Because of these and other uncertainties, our actual future results may be materially different from the results indicated by th</w:t>
      </w:r>
      <w:r w:rsidR="00A83C62" w:rsidRPr="0014008F">
        <w:rPr>
          <w:i/>
          <w:sz w:val="20"/>
        </w:rPr>
        <w:t>ese forward-looking statements.</w:t>
      </w:r>
      <w:r w:rsidR="00AF764A" w:rsidRPr="0014008F">
        <w:rPr>
          <w:i/>
          <w:sz w:val="20"/>
        </w:rPr>
        <w:t xml:space="preserve"> All information set forth in this press release is current as of the date of this release and the company undertakes no duty or obligation to update this information.</w:t>
      </w:r>
    </w:p>
    <w:p w14:paraId="21747CE3" w14:textId="77777777" w:rsidR="00766A89" w:rsidRDefault="00766A89" w:rsidP="00CA5299">
      <w:pPr>
        <w:pStyle w:val="NormalWeb"/>
        <w:jc w:val="both"/>
        <w:rPr>
          <w:i/>
          <w:sz w:val="20"/>
        </w:rPr>
      </w:pPr>
    </w:p>
    <w:p w14:paraId="6730DD84" w14:textId="76840301" w:rsidR="005D229A" w:rsidRDefault="007244FE" w:rsidP="001D7307">
      <w:pPr>
        <w:rPr>
          <w:rFonts w:ascii="Arial Narrow" w:hAnsi="Arial Narrow"/>
          <w:sz w:val="20"/>
          <w:szCs w:val="20"/>
        </w:rPr>
      </w:pPr>
      <w:r w:rsidRPr="007244FE">
        <w:rPr>
          <w:noProof/>
        </w:rPr>
        <w:lastRenderedPageBreak/>
        <w:drawing>
          <wp:inline distT="0" distB="0" distL="0" distR="0" wp14:anchorId="3627802D" wp14:editId="445AE9C3">
            <wp:extent cx="6492217" cy="7795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4076" cy="7798128"/>
                    </a:xfrm>
                    <a:prstGeom prst="rect">
                      <a:avLst/>
                    </a:prstGeom>
                    <a:noFill/>
                    <a:ln>
                      <a:noFill/>
                    </a:ln>
                  </pic:spPr>
                </pic:pic>
              </a:graphicData>
            </a:graphic>
          </wp:inline>
        </w:drawing>
      </w:r>
    </w:p>
    <w:p w14:paraId="58AEFD26" w14:textId="7EDE59DB" w:rsidR="00766A89" w:rsidRDefault="007F349E" w:rsidP="001D7307">
      <w:pPr>
        <w:rPr>
          <w:rFonts w:ascii="Arial Narrow" w:hAnsi="Arial Narrow"/>
          <w:sz w:val="20"/>
          <w:szCs w:val="20"/>
        </w:rPr>
      </w:pPr>
      <w:r w:rsidRPr="007F349E">
        <w:rPr>
          <w:noProof/>
        </w:rPr>
        <w:lastRenderedPageBreak/>
        <w:drawing>
          <wp:inline distT="0" distB="0" distL="0" distR="0" wp14:anchorId="13EA5450" wp14:editId="2DA24935">
            <wp:extent cx="6491605" cy="8242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3129" cy="8244235"/>
                    </a:xfrm>
                    <a:prstGeom prst="rect">
                      <a:avLst/>
                    </a:prstGeom>
                    <a:noFill/>
                    <a:ln>
                      <a:noFill/>
                    </a:ln>
                  </pic:spPr>
                </pic:pic>
              </a:graphicData>
            </a:graphic>
          </wp:inline>
        </w:drawing>
      </w:r>
    </w:p>
    <w:p w14:paraId="3C7B2259" w14:textId="59BFAB38" w:rsidR="00766A89" w:rsidRDefault="002158E0">
      <w:pPr>
        <w:rPr>
          <w:rFonts w:ascii="Arial Narrow" w:hAnsi="Arial Narrow"/>
          <w:sz w:val="20"/>
          <w:szCs w:val="20"/>
        </w:rPr>
      </w:pPr>
      <w:r w:rsidRPr="002158E0">
        <w:rPr>
          <w:noProof/>
        </w:rPr>
        <w:lastRenderedPageBreak/>
        <w:drawing>
          <wp:inline distT="0" distB="0" distL="0" distR="0" wp14:anchorId="59FF57BB" wp14:editId="0343C3EA">
            <wp:extent cx="5708650" cy="8286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650" cy="8286750"/>
                    </a:xfrm>
                    <a:prstGeom prst="rect">
                      <a:avLst/>
                    </a:prstGeom>
                    <a:noFill/>
                    <a:ln>
                      <a:noFill/>
                    </a:ln>
                  </pic:spPr>
                </pic:pic>
              </a:graphicData>
            </a:graphic>
          </wp:inline>
        </w:drawing>
      </w:r>
      <w:r w:rsidR="00766A89">
        <w:rPr>
          <w:rFonts w:ascii="Arial Narrow" w:hAnsi="Arial Narrow"/>
          <w:sz w:val="20"/>
          <w:szCs w:val="20"/>
        </w:rPr>
        <w:br w:type="page"/>
      </w:r>
    </w:p>
    <w:p w14:paraId="3D561B97" w14:textId="77777777" w:rsidR="00766A89" w:rsidRPr="006D4B38" w:rsidRDefault="00766A89" w:rsidP="00766A89">
      <w:pPr>
        <w:pStyle w:val="EBMT"/>
        <w:jc w:val="both"/>
        <w:rPr>
          <w:b/>
        </w:rPr>
      </w:pPr>
      <w:r w:rsidRPr="006D4B38">
        <w:rPr>
          <w:b/>
        </w:rPr>
        <w:lastRenderedPageBreak/>
        <w:t>Use of Non-GAAP Financial Measure</w:t>
      </w:r>
      <w:r>
        <w:rPr>
          <w:b/>
        </w:rPr>
        <w:t>s</w:t>
      </w:r>
    </w:p>
    <w:p w14:paraId="2B6D3910" w14:textId="77777777" w:rsidR="00766A89" w:rsidRPr="00766A89" w:rsidRDefault="00766A89" w:rsidP="00766A89">
      <w:pPr>
        <w:pStyle w:val="EBMT"/>
        <w:jc w:val="both"/>
        <w:rPr>
          <w:sz w:val="20"/>
          <w:szCs w:val="20"/>
        </w:rPr>
      </w:pPr>
      <w:r w:rsidRPr="00766A89">
        <w:rPr>
          <w:sz w:val="20"/>
          <w:szCs w:val="20"/>
        </w:rPr>
        <w:t>In addition to results presented in accordance with generally accepted accounting principles utilized in the United States, or GAAP, the Financial Ratios and Other Data contains our efficiency ratio and tangible book value per share, which are non-GAAP financial measures.  The numerator for the efficiency ratio is calculated by subtracting intangible asset amortization from noninterest expense. Tangible assets and tangible common shareholders’ equity are calculated by excluding intangible assets from assets and shareholders’ equity, respectively. For these financial measures, our intangible assets consist of goodwill and core deposit intangible. Tangible book value per share is calculated by dividing tangible common shareholders’ equity by the number of common shares outstanding.  We believe that this measure is consistent with the capital treatment by our bank regulatory agencies, which exclude intangible assets from the calculation of risk-based capital ratios, and present this measure to facilitate the comparison of the quality and composition of our capital over time and in comparison to our competitors.</w:t>
      </w:r>
    </w:p>
    <w:p w14:paraId="1832E00D" w14:textId="77777777" w:rsidR="00766A89" w:rsidRPr="00766A89" w:rsidRDefault="00766A89" w:rsidP="00766A89">
      <w:pPr>
        <w:pStyle w:val="EBMT"/>
        <w:jc w:val="both"/>
        <w:rPr>
          <w:sz w:val="20"/>
          <w:szCs w:val="20"/>
        </w:rPr>
      </w:pPr>
      <w:r w:rsidRPr="00766A89">
        <w:rPr>
          <w:sz w:val="20"/>
          <w:szCs w:val="20"/>
        </w:rPr>
        <w:t>Non-GAAP financial measures have inherent limitations, are not required to be uniformly applied, and are not audited.  Further, the non-GAAP financial measure of tangible book value per share should not be considered in isolation or as a substitute for book value per share or total shareholders’ equity determined in accordance with GAAP, and may not be comparable to a similarly titled measure reported by other companies.  Reconciliation of the GAAP and non-GAAP financial measures are presented below.</w:t>
      </w:r>
    </w:p>
    <w:p w14:paraId="495FC3CD" w14:textId="186B57F7" w:rsidR="00557479" w:rsidRDefault="002158E0" w:rsidP="001D7307">
      <w:pPr>
        <w:rPr>
          <w:rFonts w:ascii="Arial Narrow" w:hAnsi="Arial Narrow"/>
          <w:sz w:val="20"/>
          <w:szCs w:val="20"/>
        </w:rPr>
      </w:pPr>
      <w:r w:rsidRPr="002158E0">
        <w:rPr>
          <w:noProof/>
        </w:rPr>
        <w:drawing>
          <wp:inline distT="0" distB="0" distL="0" distR="0" wp14:anchorId="4ED9C542" wp14:editId="1EBF9E82">
            <wp:extent cx="5911850" cy="215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1850" cy="2159000"/>
                    </a:xfrm>
                    <a:prstGeom prst="rect">
                      <a:avLst/>
                    </a:prstGeom>
                    <a:noFill/>
                    <a:ln>
                      <a:noFill/>
                    </a:ln>
                  </pic:spPr>
                </pic:pic>
              </a:graphicData>
            </a:graphic>
          </wp:inline>
        </w:drawing>
      </w:r>
    </w:p>
    <w:p w14:paraId="4C327FBC" w14:textId="5BC91529" w:rsidR="006D4B38" w:rsidRDefault="006D4B38" w:rsidP="001D7307">
      <w:pPr>
        <w:rPr>
          <w:rFonts w:ascii="Arial Narrow" w:hAnsi="Arial Narrow"/>
          <w:sz w:val="20"/>
          <w:szCs w:val="20"/>
        </w:rPr>
      </w:pPr>
    </w:p>
    <w:p w14:paraId="14194AD0" w14:textId="59BD0A84" w:rsidR="00F7745E" w:rsidRDefault="002158E0" w:rsidP="001D7307">
      <w:pPr>
        <w:rPr>
          <w:rFonts w:ascii="Arial Narrow" w:hAnsi="Arial Narrow"/>
          <w:sz w:val="20"/>
          <w:szCs w:val="20"/>
        </w:rPr>
      </w:pPr>
      <w:r w:rsidRPr="002158E0">
        <w:rPr>
          <w:noProof/>
        </w:rPr>
        <w:drawing>
          <wp:inline distT="0" distB="0" distL="0" distR="0" wp14:anchorId="03C27CEC" wp14:editId="543B65CD">
            <wp:extent cx="5683250" cy="307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3250" cy="3073400"/>
                    </a:xfrm>
                    <a:prstGeom prst="rect">
                      <a:avLst/>
                    </a:prstGeom>
                    <a:noFill/>
                    <a:ln>
                      <a:noFill/>
                    </a:ln>
                  </pic:spPr>
                </pic:pic>
              </a:graphicData>
            </a:graphic>
          </wp:inline>
        </w:drawing>
      </w:r>
    </w:p>
    <w:p w14:paraId="44495D32" w14:textId="757BC8EE" w:rsidR="002158E0" w:rsidRDefault="002158E0" w:rsidP="001D7307">
      <w:pPr>
        <w:rPr>
          <w:rFonts w:ascii="Arial Narrow" w:hAnsi="Arial Narrow"/>
          <w:sz w:val="20"/>
          <w:szCs w:val="20"/>
        </w:rPr>
      </w:pPr>
    </w:p>
    <w:p w14:paraId="28D84CE5" w14:textId="77777777" w:rsidR="002158E0" w:rsidRDefault="002158E0" w:rsidP="001D7307">
      <w:pPr>
        <w:rPr>
          <w:rFonts w:ascii="Arial Narrow" w:hAnsi="Arial Narrow"/>
          <w:sz w:val="20"/>
          <w:szCs w:val="20"/>
        </w:rPr>
      </w:pPr>
    </w:p>
    <w:p w14:paraId="485B1C79" w14:textId="4A1BAD50" w:rsidR="009E3340" w:rsidRPr="000625A4" w:rsidRDefault="00481E79" w:rsidP="001D7307">
      <w:pPr>
        <w:rPr>
          <w:rFonts w:ascii="Arial Narrow" w:hAnsi="Arial Narrow"/>
          <w:sz w:val="20"/>
          <w:szCs w:val="20"/>
        </w:rPr>
      </w:pPr>
      <w:r w:rsidRPr="000625A4">
        <w:rPr>
          <w:rFonts w:ascii="Arial Narrow" w:hAnsi="Arial Narrow"/>
          <w:sz w:val="20"/>
          <w:szCs w:val="20"/>
        </w:rPr>
        <w:t>Note:</w:t>
      </w:r>
      <w:r w:rsidR="00816630">
        <w:rPr>
          <w:rFonts w:ascii="Arial Narrow" w:hAnsi="Arial Narrow"/>
          <w:sz w:val="20"/>
          <w:szCs w:val="20"/>
        </w:rPr>
        <w:t xml:space="preserve"> </w:t>
      </w:r>
      <w:r w:rsidRPr="000625A4">
        <w:rPr>
          <w:rFonts w:ascii="Arial Narrow" w:hAnsi="Arial Narrow"/>
          <w:sz w:val="20"/>
          <w:szCs w:val="20"/>
        </w:rPr>
        <w:t xml:space="preserve"> Transmitted</w:t>
      </w:r>
      <w:r w:rsidR="00452270">
        <w:rPr>
          <w:rFonts w:ascii="Arial Narrow" w:hAnsi="Arial Narrow"/>
          <w:sz w:val="20"/>
          <w:szCs w:val="20"/>
        </w:rPr>
        <w:t xml:space="preserve"> on G</w:t>
      </w:r>
      <w:r w:rsidR="00875C1C">
        <w:rPr>
          <w:rFonts w:ascii="Arial Narrow" w:hAnsi="Arial Narrow"/>
          <w:sz w:val="20"/>
          <w:szCs w:val="20"/>
        </w:rPr>
        <w:t xml:space="preserve">lobe </w:t>
      </w:r>
      <w:r w:rsidR="00275962">
        <w:rPr>
          <w:rFonts w:ascii="Arial Narrow" w:hAnsi="Arial Narrow"/>
          <w:sz w:val="20"/>
          <w:szCs w:val="20"/>
        </w:rPr>
        <w:t>Newswire</w:t>
      </w:r>
      <w:r w:rsidR="00F7745E">
        <w:rPr>
          <w:rFonts w:ascii="Arial Narrow" w:hAnsi="Arial Narrow"/>
          <w:sz w:val="20"/>
          <w:szCs w:val="20"/>
        </w:rPr>
        <w:t xml:space="preserve"> on January 29, 2018</w:t>
      </w:r>
      <w:r w:rsidR="00934B88">
        <w:rPr>
          <w:rFonts w:ascii="Arial Narrow" w:hAnsi="Arial Narrow"/>
          <w:sz w:val="20"/>
          <w:szCs w:val="20"/>
        </w:rPr>
        <w:t xml:space="preserve"> at</w:t>
      </w:r>
      <w:r w:rsidR="009150CA">
        <w:rPr>
          <w:rFonts w:ascii="Arial Narrow" w:hAnsi="Arial Narrow"/>
          <w:sz w:val="20"/>
          <w:szCs w:val="20"/>
        </w:rPr>
        <w:t xml:space="preserve"> 10:00 a.m.</w:t>
      </w:r>
      <w:r w:rsidR="00A129B3">
        <w:rPr>
          <w:rFonts w:ascii="Arial Narrow" w:hAnsi="Arial Narrow"/>
          <w:sz w:val="20"/>
          <w:szCs w:val="20"/>
        </w:rPr>
        <w:t xml:space="preserve"> M</w:t>
      </w:r>
      <w:r w:rsidRPr="000625A4">
        <w:rPr>
          <w:rFonts w:ascii="Arial Narrow" w:hAnsi="Arial Narrow"/>
          <w:sz w:val="20"/>
          <w:szCs w:val="20"/>
        </w:rPr>
        <w:t>T.</w:t>
      </w:r>
    </w:p>
    <w:sectPr w:rsidR="009E3340" w:rsidRPr="000625A4" w:rsidSect="005A247C">
      <w:headerReference w:type="default" r:id="rId17"/>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5B791" w14:textId="77777777" w:rsidR="008755E2" w:rsidRDefault="008755E2">
      <w:r>
        <w:separator/>
      </w:r>
    </w:p>
  </w:endnote>
  <w:endnote w:type="continuationSeparator" w:id="0">
    <w:p w14:paraId="5BC02354" w14:textId="77777777" w:rsidR="008755E2" w:rsidRDefault="0087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4C5C1" w14:textId="77777777" w:rsidR="008755E2" w:rsidRDefault="008755E2">
      <w:r>
        <w:separator/>
      </w:r>
    </w:p>
  </w:footnote>
  <w:footnote w:type="continuationSeparator" w:id="0">
    <w:p w14:paraId="579A41E1" w14:textId="77777777" w:rsidR="008755E2" w:rsidRDefault="0087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2B5F" w14:textId="12CD871F" w:rsidR="00323A4C" w:rsidRPr="005A247C" w:rsidRDefault="00323A4C">
    <w:pPr>
      <w:pStyle w:val="Header"/>
      <w:rPr>
        <w:rFonts w:ascii="Times New Roman" w:hAnsi="Times New Roman"/>
        <w:sz w:val="22"/>
        <w:szCs w:val="22"/>
      </w:rPr>
    </w:pPr>
    <w:r w:rsidRPr="005A247C">
      <w:rPr>
        <w:rFonts w:ascii="Times New Roman" w:hAnsi="Times New Roman"/>
        <w:sz w:val="22"/>
        <w:szCs w:val="22"/>
      </w:rPr>
      <w:t>E</w:t>
    </w:r>
    <w:r w:rsidR="00F7745E">
      <w:rPr>
        <w:rFonts w:ascii="Times New Roman" w:hAnsi="Times New Roman"/>
        <w:sz w:val="22"/>
        <w:szCs w:val="22"/>
      </w:rPr>
      <w:t>BMT Reports Fourth</w:t>
    </w:r>
    <w:r>
      <w:rPr>
        <w:rFonts w:ascii="Times New Roman" w:hAnsi="Times New Roman"/>
        <w:sz w:val="22"/>
        <w:szCs w:val="22"/>
      </w:rPr>
      <w:t xml:space="preserve"> Quarter 2017 Results</w:t>
    </w:r>
  </w:p>
  <w:p w14:paraId="06EFE48F" w14:textId="5EEB48D8" w:rsidR="00323A4C" w:rsidRPr="005A247C" w:rsidRDefault="00F7745E">
    <w:pPr>
      <w:pStyle w:val="Header"/>
      <w:rPr>
        <w:rFonts w:ascii="Times New Roman" w:hAnsi="Times New Roman"/>
        <w:sz w:val="22"/>
        <w:szCs w:val="22"/>
      </w:rPr>
    </w:pPr>
    <w:r>
      <w:rPr>
        <w:rFonts w:ascii="Times New Roman" w:hAnsi="Times New Roman"/>
        <w:sz w:val="22"/>
        <w:szCs w:val="22"/>
      </w:rPr>
      <w:t>January 29, 2018</w:t>
    </w:r>
  </w:p>
  <w:p w14:paraId="3C1FFDF8" w14:textId="70A4517E" w:rsidR="00323A4C" w:rsidRDefault="00323A4C">
    <w:pPr>
      <w:pStyle w:val="Header"/>
      <w:rPr>
        <w:rStyle w:val="PageNumber"/>
        <w:rFonts w:ascii="Times New Roman" w:hAnsi="Times New Roman"/>
        <w:sz w:val="22"/>
        <w:szCs w:val="22"/>
      </w:rPr>
    </w:pPr>
    <w:r w:rsidRPr="005A247C">
      <w:rPr>
        <w:rFonts w:ascii="Times New Roman" w:hAnsi="Times New Roman"/>
        <w:sz w:val="22"/>
        <w:szCs w:val="22"/>
      </w:rPr>
      <w:t xml:space="preserve">Page </w:t>
    </w:r>
    <w:r w:rsidRPr="005A247C">
      <w:rPr>
        <w:rStyle w:val="PageNumber"/>
        <w:rFonts w:ascii="Times New Roman" w:hAnsi="Times New Roman"/>
        <w:sz w:val="22"/>
        <w:szCs w:val="22"/>
      </w:rPr>
      <w:fldChar w:fldCharType="begin"/>
    </w:r>
    <w:r w:rsidRPr="005A247C">
      <w:rPr>
        <w:rStyle w:val="PageNumber"/>
        <w:rFonts w:ascii="Times New Roman" w:hAnsi="Times New Roman"/>
        <w:sz w:val="22"/>
        <w:szCs w:val="22"/>
      </w:rPr>
      <w:instrText xml:space="preserve"> PAGE </w:instrText>
    </w:r>
    <w:r w:rsidRPr="005A247C">
      <w:rPr>
        <w:rStyle w:val="PageNumber"/>
        <w:rFonts w:ascii="Times New Roman" w:hAnsi="Times New Roman"/>
        <w:sz w:val="22"/>
        <w:szCs w:val="22"/>
      </w:rPr>
      <w:fldChar w:fldCharType="separate"/>
    </w:r>
    <w:r w:rsidR="008E7AD2">
      <w:rPr>
        <w:rStyle w:val="PageNumber"/>
        <w:rFonts w:ascii="Times New Roman" w:hAnsi="Times New Roman"/>
        <w:noProof/>
        <w:sz w:val="22"/>
        <w:szCs w:val="22"/>
      </w:rPr>
      <w:t>8</w:t>
    </w:r>
    <w:r w:rsidRPr="005A247C">
      <w:rPr>
        <w:rStyle w:val="PageNumber"/>
        <w:rFonts w:ascii="Times New Roman" w:hAnsi="Times New Roman"/>
        <w:sz w:val="22"/>
        <w:szCs w:val="22"/>
      </w:rPr>
      <w:fldChar w:fldCharType="end"/>
    </w:r>
  </w:p>
  <w:p w14:paraId="325ED987" w14:textId="77777777" w:rsidR="00323A4C" w:rsidRDefault="00323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D8"/>
    <w:multiLevelType w:val="hybridMultilevel"/>
    <w:tmpl w:val="726C3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8243D"/>
    <w:multiLevelType w:val="hybridMultilevel"/>
    <w:tmpl w:val="09BA7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3D678A"/>
    <w:multiLevelType w:val="hybridMultilevel"/>
    <w:tmpl w:val="D264F86E"/>
    <w:lvl w:ilvl="0" w:tplc="C0564A08">
      <w:start w:val="1"/>
      <w:numFmt w:val="bullet"/>
      <w:lvlText w:val=""/>
      <w:lvlJc w:val="left"/>
      <w:pPr>
        <w:tabs>
          <w:tab w:val="num" w:pos="720"/>
        </w:tabs>
        <w:ind w:left="720" w:hanging="360"/>
      </w:pPr>
      <w:rPr>
        <w:rFonts w:ascii="Symbol" w:hAnsi="Symbol" w:hint="default"/>
        <w:color w:val="4503A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0"/>
    <w:rsid w:val="00003C95"/>
    <w:rsid w:val="00003FA6"/>
    <w:rsid w:val="000059AA"/>
    <w:rsid w:val="00005D1C"/>
    <w:rsid w:val="00007653"/>
    <w:rsid w:val="000076C2"/>
    <w:rsid w:val="00010B60"/>
    <w:rsid w:val="00011B37"/>
    <w:rsid w:val="000133E1"/>
    <w:rsid w:val="000137EF"/>
    <w:rsid w:val="0001515D"/>
    <w:rsid w:val="0002081B"/>
    <w:rsid w:val="0002191E"/>
    <w:rsid w:val="00022C44"/>
    <w:rsid w:val="0002339C"/>
    <w:rsid w:val="00023DDC"/>
    <w:rsid w:val="00024466"/>
    <w:rsid w:val="00024535"/>
    <w:rsid w:val="00024A9E"/>
    <w:rsid w:val="00024EF1"/>
    <w:rsid w:val="000262B7"/>
    <w:rsid w:val="00026A5B"/>
    <w:rsid w:val="00026CC1"/>
    <w:rsid w:val="000301EB"/>
    <w:rsid w:val="00034D6F"/>
    <w:rsid w:val="000353D0"/>
    <w:rsid w:val="00035C10"/>
    <w:rsid w:val="00036C8A"/>
    <w:rsid w:val="0004075C"/>
    <w:rsid w:val="000410A9"/>
    <w:rsid w:val="00041E34"/>
    <w:rsid w:val="00042412"/>
    <w:rsid w:val="00045389"/>
    <w:rsid w:val="000453A5"/>
    <w:rsid w:val="00045683"/>
    <w:rsid w:val="00046CC7"/>
    <w:rsid w:val="00047DFC"/>
    <w:rsid w:val="000503C0"/>
    <w:rsid w:val="000508D2"/>
    <w:rsid w:val="00050A13"/>
    <w:rsid w:val="00050FE7"/>
    <w:rsid w:val="00051136"/>
    <w:rsid w:val="0005482C"/>
    <w:rsid w:val="00060455"/>
    <w:rsid w:val="00061143"/>
    <w:rsid w:val="000617F8"/>
    <w:rsid w:val="00061955"/>
    <w:rsid w:val="0006208E"/>
    <w:rsid w:val="000625A4"/>
    <w:rsid w:val="00065B04"/>
    <w:rsid w:val="00065C11"/>
    <w:rsid w:val="00065F3A"/>
    <w:rsid w:val="00066EEE"/>
    <w:rsid w:val="0006721C"/>
    <w:rsid w:val="00067547"/>
    <w:rsid w:val="00070221"/>
    <w:rsid w:val="000705CE"/>
    <w:rsid w:val="0007180D"/>
    <w:rsid w:val="000726CA"/>
    <w:rsid w:val="00073309"/>
    <w:rsid w:val="00073926"/>
    <w:rsid w:val="00073B01"/>
    <w:rsid w:val="00073C53"/>
    <w:rsid w:val="00075252"/>
    <w:rsid w:val="00075A4B"/>
    <w:rsid w:val="00075E9B"/>
    <w:rsid w:val="00075FB5"/>
    <w:rsid w:val="00077DEB"/>
    <w:rsid w:val="0008052D"/>
    <w:rsid w:val="000827E9"/>
    <w:rsid w:val="00082B2B"/>
    <w:rsid w:val="00083B35"/>
    <w:rsid w:val="00083D91"/>
    <w:rsid w:val="00084693"/>
    <w:rsid w:val="00084DB9"/>
    <w:rsid w:val="0008742B"/>
    <w:rsid w:val="00090114"/>
    <w:rsid w:val="00090464"/>
    <w:rsid w:val="00090B7A"/>
    <w:rsid w:val="00090C0E"/>
    <w:rsid w:val="00091213"/>
    <w:rsid w:val="00091DAE"/>
    <w:rsid w:val="00092510"/>
    <w:rsid w:val="0009259C"/>
    <w:rsid w:val="000956F5"/>
    <w:rsid w:val="000964B7"/>
    <w:rsid w:val="00096C9A"/>
    <w:rsid w:val="00097254"/>
    <w:rsid w:val="000976F0"/>
    <w:rsid w:val="000A05CC"/>
    <w:rsid w:val="000A159C"/>
    <w:rsid w:val="000A48D7"/>
    <w:rsid w:val="000A4B2D"/>
    <w:rsid w:val="000A5AAC"/>
    <w:rsid w:val="000A6229"/>
    <w:rsid w:val="000A697B"/>
    <w:rsid w:val="000A6ABC"/>
    <w:rsid w:val="000A6E31"/>
    <w:rsid w:val="000A7E35"/>
    <w:rsid w:val="000B087A"/>
    <w:rsid w:val="000B1BF5"/>
    <w:rsid w:val="000B23CA"/>
    <w:rsid w:val="000B3418"/>
    <w:rsid w:val="000B34A9"/>
    <w:rsid w:val="000B4305"/>
    <w:rsid w:val="000B6641"/>
    <w:rsid w:val="000C0581"/>
    <w:rsid w:val="000C255F"/>
    <w:rsid w:val="000C3FD4"/>
    <w:rsid w:val="000C4EE7"/>
    <w:rsid w:val="000C5BA6"/>
    <w:rsid w:val="000C6976"/>
    <w:rsid w:val="000C707B"/>
    <w:rsid w:val="000D24EA"/>
    <w:rsid w:val="000D31E4"/>
    <w:rsid w:val="000D396C"/>
    <w:rsid w:val="000D3DEB"/>
    <w:rsid w:val="000D45C0"/>
    <w:rsid w:val="000D4A22"/>
    <w:rsid w:val="000D57E7"/>
    <w:rsid w:val="000D69C1"/>
    <w:rsid w:val="000E0AEA"/>
    <w:rsid w:val="000E1179"/>
    <w:rsid w:val="000E13D1"/>
    <w:rsid w:val="000E1948"/>
    <w:rsid w:val="000E2FA8"/>
    <w:rsid w:val="000E497F"/>
    <w:rsid w:val="000E4F9D"/>
    <w:rsid w:val="000E573C"/>
    <w:rsid w:val="000E6D6A"/>
    <w:rsid w:val="000F0321"/>
    <w:rsid w:val="000F38B8"/>
    <w:rsid w:val="000F3FAD"/>
    <w:rsid w:val="000F43F9"/>
    <w:rsid w:val="000F58C9"/>
    <w:rsid w:val="000F61DB"/>
    <w:rsid w:val="000F6C69"/>
    <w:rsid w:val="0010175E"/>
    <w:rsid w:val="00101A15"/>
    <w:rsid w:val="00102141"/>
    <w:rsid w:val="00102FF2"/>
    <w:rsid w:val="00103E49"/>
    <w:rsid w:val="00103EA0"/>
    <w:rsid w:val="00107122"/>
    <w:rsid w:val="001078C3"/>
    <w:rsid w:val="00107E39"/>
    <w:rsid w:val="001135FE"/>
    <w:rsid w:val="00114096"/>
    <w:rsid w:val="00115A42"/>
    <w:rsid w:val="00122280"/>
    <w:rsid w:val="00122D8B"/>
    <w:rsid w:val="001232DB"/>
    <w:rsid w:val="001255BB"/>
    <w:rsid w:val="00127946"/>
    <w:rsid w:val="00130224"/>
    <w:rsid w:val="0013083C"/>
    <w:rsid w:val="001312F2"/>
    <w:rsid w:val="00131441"/>
    <w:rsid w:val="00131BD8"/>
    <w:rsid w:val="00131F84"/>
    <w:rsid w:val="0013362A"/>
    <w:rsid w:val="00136B74"/>
    <w:rsid w:val="00136FE9"/>
    <w:rsid w:val="001372CF"/>
    <w:rsid w:val="0014008F"/>
    <w:rsid w:val="00140504"/>
    <w:rsid w:val="00140E7D"/>
    <w:rsid w:val="001412E6"/>
    <w:rsid w:val="00142AE0"/>
    <w:rsid w:val="00143291"/>
    <w:rsid w:val="00143E2D"/>
    <w:rsid w:val="00143F64"/>
    <w:rsid w:val="001446D1"/>
    <w:rsid w:val="00144CEE"/>
    <w:rsid w:val="00145FDF"/>
    <w:rsid w:val="00150E98"/>
    <w:rsid w:val="00151E69"/>
    <w:rsid w:val="00152A0B"/>
    <w:rsid w:val="00152FE7"/>
    <w:rsid w:val="00153132"/>
    <w:rsid w:val="001556F6"/>
    <w:rsid w:val="0015659F"/>
    <w:rsid w:val="0015751C"/>
    <w:rsid w:val="00162715"/>
    <w:rsid w:val="00164FE6"/>
    <w:rsid w:val="00165AF6"/>
    <w:rsid w:val="00166294"/>
    <w:rsid w:val="00166A13"/>
    <w:rsid w:val="00167B7D"/>
    <w:rsid w:val="00167CD0"/>
    <w:rsid w:val="00170097"/>
    <w:rsid w:val="00171C77"/>
    <w:rsid w:val="0017232D"/>
    <w:rsid w:val="00172C46"/>
    <w:rsid w:val="00172F85"/>
    <w:rsid w:val="001733B1"/>
    <w:rsid w:val="001747E0"/>
    <w:rsid w:val="00174ECE"/>
    <w:rsid w:val="00181797"/>
    <w:rsid w:val="00182699"/>
    <w:rsid w:val="0018337D"/>
    <w:rsid w:val="0018460E"/>
    <w:rsid w:val="001846F7"/>
    <w:rsid w:val="00185215"/>
    <w:rsid w:val="00185A5C"/>
    <w:rsid w:val="00191703"/>
    <w:rsid w:val="001921E7"/>
    <w:rsid w:val="00194295"/>
    <w:rsid w:val="001948FB"/>
    <w:rsid w:val="001965BC"/>
    <w:rsid w:val="00196F62"/>
    <w:rsid w:val="00197BEC"/>
    <w:rsid w:val="001A2962"/>
    <w:rsid w:val="001A454C"/>
    <w:rsid w:val="001A6892"/>
    <w:rsid w:val="001A6D31"/>
    <w:rsid w:val="001A7E28"/>
    <w:rsid w:val="001B0792"/>
    <w:rsid w:val="001B2C6E"/>
    <w:rsid w:val="001B3760"/>
    <w:rsid w:val="001B3C26"/>
    <w:rsid w:val="001B3D20"/>
    <w:rsid w:val="001B43B7"/>
    <w:rsid w:val="001B6529"/>
    <w:rsid w:val="001B67E9"/>
    <w:rsid w:val="001B79B2"/>
    <w:rsid w:val="001C0B25"/>
    <w:rsid w:val="001C1636"/>
    <w:rsid w:val="001C2AA1"/>
    <w:rsid w:val="001C45D7"/>
    <w:rsid w:val="001C4A45"/>
    <w:rsid w:val="001C51F9"/>
    <w:rsid w:val="001C5323"/>
    <w:rsid w:val="001C6779"/>
    <w:rsid w:val="001C6E6E"/>
    <w:rsid w:val="001C74E9"/>
    <w:rsid w:val="001C78D9"/>
    <w:rsid w:val="001D12EE"/>
    <w:rsid w:val="001D3A42"/>
    <w:rsid w:val="001D3DFC"/>
    <w:rsid w:val="001D3F2A"/>
    <w:rsid w:val="001D43FC"/>
    <w:rsid w:val="001D458A"/>
    <w:rsid w:val="001D5B08"/>
    <w:rsid w:val="001D7307"/>
    <w:rsid w:val="001E1438"/>
    <w:rsid w:val="001E27EA"/>
    <w:rsid w:val="001E3FD7"/>
    <w:rsid w:val="001E43B3"/>
    <w:rsid w:val="001E5503"/>
    <w:rsid w:val="001E66BF"/>
    <w:rsid w:val="001E7988"/>
    <w:rsid w:val="001E7A32"/>
    <w:rsid w:val="001F0F9A"/>
    <w:rsid w:val="001F14C1"/>
    <w:rsid w:val="001F1D3A"/>
    <w:rsid w:val="001F2B71"/>
    <w:rsid w:val="001F2C69"/>
    <w:rsid w:val="001F3179"/>
    <w:rsid w:val="001F39D5"/>
    <w:rsid w:val="001F3F6E"/>
    <w:rsid w:val="001F6E54"/>
    <w:rsid w:val="00201C9D"/>
    <w:rsid w:val="00202FE6"/>
    <w:rsid w:val="0020374E"/>
    <w:rsid w:val="00203A22"/>
    <w:rsid w:val="00205368"/>
    <w:rsid w:val="00206DAD"/>
    <w:rsid w:val="00207584"/>
    <w:rsid w:val="00212547"/>
    <w:rsid w:val="002143ED"/>
    <w:rsid w:val="00215366"/>
    <w:rsid w:val="00215854"/>
    <w:rsid w:val="002158E0"/>
    <w:rsid w:val="002163A6"/>
    <w:rsid w:val="00217F5D"/>
    <w:rsid w:val="0022100A"/>
    <w:rsid w:val="00223199"/>
    <w:rsid w:val="002251B5"/>
    <w:rsid w:val="0022642E"/>
    <w:rsid w:val="00226761"/>
    <w:rsid w:val="00226B1F"/>
    <w:rsid w:val="002274F5"/>
    <w:rsid w:val="002324B5"/>
    <w:rsid w:val="00233E2A"/>
    <w:rsid w:val="00236A40"/>
    <w:rsid w:val="00236F1A"/>
    <w:rsid w:val="00237268"/>
    <w:rsid w:val="00242435"/>
    <w:rsid w:val="00242771"/>
    <w:rsid w:val="00244286"/>
    <w:rsid w:val="002443D8"/>
    <w:rsid w:val="00245B4C"/>
    <w:rsid w:val="0024741B"/>
    <w:rsid w:val="0025014F"/>
    <w:rsid w:val="002505EC"/>
    <w:rsid w:val="0025232B"/>
    <w:rsid w:val="002524E4"/>
    <w:rsid w:val="00256567"/>
    <w:rsid w:val="002610F6"/>
    <w:rsid w:val="00261229"/>
    <w:rsid w:val="00261A28"/>
    <w:rsid w:val="00261F20"/>
    <w:rsid w:val="00262625"/>
    <w:rsid w:val="002646A7"/>
    <w:rsid w:val="00265364"/>
    <w:rsid w:val="00266689"/>
    <w:rsid w:val="002671C7"/>
    <w:rsid w:val="00267917"/>
    <w:rsid w:val="00267A45"/>
    <w:rsid w:val="00267BF5"/>
    <w:rsid w:val="002716A9"/>
    <w:rsid w:val="00272014"/>
    <w:rsid w:val="0027269B"/>
    <w:rsid w:val="00272BD6"/>
    <w:rsid w:val="00274BBE"/>
    <w:rsid w:val="00275038"/>
    <w:rsid w:val="00275962"/>
    <w:rsid w:val="00276627"/>
    <w:rsid w:val="00276718"/>
    <w:rsid w:val="002773A7"/>
    <w:rsid w:val="00277DC6"/>
    <w:rsid w:val="00283A38"/>
    <w:rsid w:val="00284EB5"/>
    <w:rsid w:val="0028560E"/>
    <w:rsid w:val="002858F5"/>
    <w:rsid w:val="00285FCB"/>
    <w:rsid w:val="0028606F"/>
    <w:rsid w:val="00287E62"/>
    <w:rsid w:val="002905C5"/>
    <w:rsid w:val="00291144"/>
    <w:rsid w:val="002913F6"/>
    <w:rsid w:val="00292940"/>
    <w:rsid w:val="00292C89"/>
    <w:rsid w:val="00292F04"/>
    <w:rsid w:val="00293B54"/>
    <w:rsid w:val="00293B5E"/>
    <w:rsid w:val="00294993"/>
    <w:rsid w:val="002958E4"/>
    <w:rsid w:val="002A0FBE"/>
    <w:rsid w:val="002A557C"/>
    <w:rsid w:val="002A5A80"/>
    <w:rsid w:val="002A6C78"/>
    <w:rsid w:val="002A7B21"/>
    <w:rsid w:val="002B0416"/>
    <w:rsid w:val="002B2C42"/>
    <w:rsid w:val="002B3F30"/>
    <w:rsid w:val="002C1090"/>
    <w:rsid w:val="002C3E0C"/>
    <w:rsid w:val="002C4C35"/>
    <w:rsid w:val="002C6F0E"/>
    <w:rsid w:val="002C7EEE"/>
    <w:rsid w:val="002D0369"/>
    <w:rsid w:val="002D1BA8"/>
    <w:rsid w:val="002D34E3"/>
    <w:rsid w:val="002D3546"/>
    <w:rsid w:val="002D37EF"/>
    <w:rsid w:val="002D4483"/>
    <w:rsid w:val="002D47EF"/>
    <w:rsid w:val="002D5FA2"/>
    <w:rsid w:val="002D6AF9"/>
    <w:rsid w:val="002D7597"/>
    <w:rsid w:val="002E06AC"/>
    <w:rsid w:val="002E0E02"/>
    <w:rsid w:val="002E27F4"/>
    <w:rsid w:val="002E58F7"/>
    <w:rsid w:val="002F01B4"/>
    <w:rsid w:val="002F1910"/>
    <w:rsid w:val="002F1B22"/>
    <w:rsid w:val="002F3595"/>
    <w:rsid w:val="002F48C2"/>
    <w:rsid w:val="002F6589"/>
    <w:rsid w:val="002F6D10"/>
    <w:rsid w:val="00300695"/>
    <w:rsid w:val="00301735"/>
    <w:rsid w:val="00301EAA"/>
    <w:rsid w:val="00302071"/>
    <w:rsid w:val="00304574"/>
    <w:rsid w:val="003046B1"/>
    <w:rsid w:val="00304A2D"/>
    <w:rsid w:val="00306D48"/>
    <w:rsid w:val="003140EF"/>
    <w:rsid w:val="00314FD0"/>
    <w:rsid w:val="003152E4"/>
    <w:rsid w:val="00315A3F"/>
    <w:rsid w:val="00315AFA"/>
    <w:rsid w:val="00315F1E"/>
    <w:rsid w:val="00316167"/>
    <w:rsid w:val="0031668A"/>
    <w:rsid w:val="003204F2"/>
    <w:rsid w:val="00320B09"/>
    <w:rsid w:val="00321147"/>
    <w:rsid w:val="0032120A"/>
    <w:rsid w:val="00323542"/>
    <w:rsid w:val="00323A4C"/>
    <w:rsid w:val="00324807"/>
    <w:rsid w:val="00324B7B"/>
    <w:rsid w:val="003264BD"/>
    <w:rsid w:val="00326995"/>
    <w:rsid w:val="00327D45"/>
    <w:rsid w:val="00330679"/>
    <w:rsid w:val="00330F9F"/>
    <w:rsid w:val="0033247D"/>
    <w:rsid w:val="00332593"/>
    <w:rsid w:val="00333D5C"/>
    <w:rsid w:val="00335C9D"/>
    <w:rsid w:val="003361F7"/>
    <w:rsid w:val="003440E1"/>
    <w:rsid w:val="0034683F"/>
    <w:rsid w:val="0034723B"/>
    <w:rsid w:val="0035033E"/>
    <w:rsid w:val="00350DDA"/>
    <w:rsid w:val="00351419"/>
    <w:rsid w:val="0035162E"/>
    <w:rsid w:val="00353E2D"/>
    <w:rsid w:val="00354785"/>
    <w:rsid w:val="00355165"/>
    <w:rsid w:val="00356100"/>
    <w:rsid w:val="0035662E"/>
    <w:rsid w:val="00360431"/>
    <w:rsid w:val="00363178"/>
    <w:rsid w:val="00364080"/>
    <w:rsid w:val="00364294"/>
    <w:rsid w:val="0036754B"/>
    <w:rsid w:val="00367A99"/>
    <w:rsid w:val="00367C25"/>
    <w:rsid w:val="00370CC4"/>
    <w:rsid w:val="003746E7"/>
    <w:rsid w:val="00374734"/>
    <w:rsid w:val="00375B40"/>
    <w:rsid w:val="00376530"/>
    <w:rsid w:val="0037696C"/>
    <w:rsid w:val="00376C92"/>
    <w:rsid w:val="00380106"/>
    <w:rsid w:val="00385B6E"/>
    <w:rsid w:val="00386CD4"/>
    <w:rsid w:val="003873D3"/>
    <w:rsid w:val="003938E1"/>
    <w:rsid w:val="00393CF0"/>
    <w:rsid w:val="00393D21"/>
    <w:rsid w:val="00394FEA"/>
    <w:rsid w:val="0039711E"/>
    <w:rsid w:val="00397538"/>
    <w:rsid w:val="00397C90"/>
    <w:rsid w:val="003A0631"/>
    <w:rsid w:val="003A16E9"/>
    <w:rsid w:val="003A19E8"/>
    <w:rsid w:val="003A1FC4"/>
    <w:rsid w:val="003A5BD7"/>
    <w:rsid w:val="003A7D7C"/>
    <w:rsid w:val="003B066F"/>
    <w:rsid w:val="003B1441"/>
    <w:rsid w:val="003B2206"/>
    <w:rsid w:val="003B2676"/>
    <w:rsid w:val="003B2A17"/>
    <w:rsid w:val="003B3930"/>
    <w:rsid w:val="003B4A81"/>
    <w:rsid w:val="003B4D28"/>
    <w:rsid w:val="003B642F"/>
    <w:rsid w:val="003B7387"/>
    <w:rsid w:val="003C0938"/>
    <w:rsid w:val="003C0A62"/>
    <w:rsid w:val="003C12E6"/>
    <w:rsid w:val="003C4EBA"/>
    <w:rsid w:val="003C637E"/>
    <w:rsid w:val="003C683B"/>
    <w:rsid w:val="003C6F6F"/>
    <w:rsid w:val="003D29D2"/>
    <w:rsid w:val="003D556A"/>
    <w:rsid w:val="003D6F1E"/>
    <w:rsid w:val="003D7C02"/>
    <w:rsid w:val="003D7C52"/>
    <w:rsid w:val="003D7CD2"/>
    <w:rsid w:val="003E0202"/>
    <w:rsid w:val="003E0854"/>
    <w:rsid w:val="003E0DA8"/>
    <w:rsid w:val="003E2320"/>
    <w:rsid w:val="003E42E5"/>
    <w:rsid w:val="003E46DF"/>
    <w:rsid w:val="003E5AB3"/>
    <w:rsid w:val="003E6C76"/>
    <w:rsid w:val="003F0B34"/>
    <w:rsid w:val="003F175E"/>
    <w:rsid w:val="003F22D3"/>
    <w:rsid w:val="003F4544"/>
    <w:rsid w:val="003F5A51"/>
    <w:rsid w:val="003F7835"/>
    <w:rsid w:val="00400320"/>
    <w:rsid w:val="00400E8E"/>
    <w:rsid w:val="004015E8"/>
    <w:rsid w:val="00401A00"/>
    <w:rsid w:val="00402EF7"/>
    <w:rsid w:val="004062ED"/>
    <w:rsid w:val="00406E25"/>
    <w:rsid w:val="0041120C"/>
    <w:rsid w:val="0041176E"/>
    <w:rsid w:val="004122D9"/>
    <w:rsid w:val="0041694D"/>
    <w:rsid w:val="004233FE"/>
    <w:rsid w:val="00424C21"/>
    <w:rsid w:val="004250A0"/>
    <w:rsid w:val="00425EE8"/>
    <w:rsid w:val="00426232"/>
    <w:rsid w:val="00426A2C"/>
    <w:rsid w:val="00430216"/>
    <w:rsid w:val="00430905"/>
    <w:rsid w:val="00430E57"/>
    <w:rsid w:val="00430E7D"/>
    <w:rsid w:val="0043127F"/>
    <w:rsid w:val="00431A87"/>
    <w:rsid w:val="0043386C"/>
    <w:rsid w:val="00437229"/>
    <w:rsid w:val="00437EFF"/>
    <w:rsid w:val="00440303"/>
    <w:rsid w:val="00440B23"/>
    <w:rsid w:val="00442935"/>
    <w:rsid w:val="00442E1F"/>
    <w:rsid w:val="00443E9C"/>
    <w:rsid w:val="0044650A"/>
    <w:rsid w:val="00447285"/>
    <w:rsid w:val="00451CE4"/>
    <w:rsid w:val="00452270"/>
    <w:rsid w:val="00452BCD"/>
    <w:rsid w:val="00453055"/>
    <w:rsid w:val="004538D5"/>
    <w:rsid w:val="00453D1B"/>
    <w:rsid w:val="00455312"/>
    <w:rsid w:val="00455EC4"/>
    <w:rsid w:val="00456345"/>
    <w:rsid w:val="00456F27"/>
    <w:rsid w:val="0045728E"/>
    <w:rsid w:val="004573A0"/>
    <w:rsid w:val="004600F5"/>
    <w:rsid w:val="00461FA8"/>
    <w:rsid w:val="0046236A"/>
    <w:rsid w:val="00466778"/>
    <w:rsid w:val="004669AF"/>
    <w:rsid w:val="00466C2D"/>
    <w:rsid w:val="00470D26"/>
    <w:rsid w:val="004718B6"/>
    <w:rsid w:val="00471A24"/>
    <w:rsid w:val="00471F45"/>
    <w:rsid w:val="00473376"/>
    <w:rsid w:val="00475D43"/>
    <w:rsid w:val="00481E79"/>
    <w:rsid w:val="004830C9"/>
    <w:rsid w:val="00483B64"/>
    <w:rsid w:val="00484584"/>
    <w:rsid w:val="0049029C"/>
    <w:rsid w:val="00491349"/>
    <w:rsid w:val="004927A9"/>
    <w:rsid w:val="00494C85"/>
    <w:rsid w:val="00494EC1"/>
    <w:rsid w:val="004950D1"/>
    <w:rsid w:val="00496022"/>
    <w:rsid w:val="00496387"/>
    <w:rsid w:val="00496551"/>
    <w:rsid w:val="00497A6E"/>
    <w:rsid w:val="004A041E"/>
    <w:rsid w:val="004A0537"/>
    <w:rsid w:val="004A31F5"/>
    <w:rsid w:val="004A6723"/>
    <w:rsid w:val="004B0D0B"/>
    <w:rsid w:val="004B4A9E"/>
    <w:rsid w:val="004B54A3"/>
    <w:rsid w:val="004B762A"/>
    <w:rsid w:val="004B7DE6"/>
    <w:rsid w:val="004C1E88"/>
    <w:rsid w:val="004C2A2E"/>
    <w:rsid w:val="004C40B0"/>
    <w:rsid w:val="004C42DF"/>
    <w:rsid w:val="004C549B"/>
    <w:rsid w:val="004C6247"/>
    <w:rsid w:val="004C710F"/>
    <w:rsid w:val="004C7FB7"/>
    <w:rsid w:val="004D2427"/>
    <w:rsid w:val="004D52EE"/>
    <w:rsid w:val="004D7DED"/>
    <w:rsid w:val="004E0366"/>
    <w:rsid w:val="004E074F"/>
    <w:rsid w:val="004E15CC"/>
    <w:rsid w:val="004E17C9"/>
    <w:rsid w:val="004E27B2"/>
    <w:rsid w:val="004E3029"/>
    <w:rsid w:val="004E3137"/>
    <w:rsid w:val="004E349B"/>
    <w:rsid w:val="004E3CFD"/>
    <w:rsid w:val="004E46FB"/>
    <w:rsid w:val="004E4A75"/>
    <w:rsid w:val="004E5B0B"/>
    <w:rsid w:val="004E6008"/>
    <w:rsid w:val="004E6721"/>
    <w:rsid w:val="004E785B"/>
    <w:rsid w:val="004F03D6"/>
    <w:rsid w:val="004F61B3"/>
    <w:rsid w:val="004F71CB"/>
    <w:rsid w:val="004F736D"/>
    <w:rsid w:val="004F7390"/>
    <w:rsid w:val="004F7A1B"/>
    <w:rsid w:val="00500682"/>
    <w:rsid w:val="0050077C"/>
    <w:rsid w:val="00501645"/>
    <w:rsid w:val="00501B2B"/>
    <w:rsid w:val="005034A7"/>
    <w:rsid w:val="00503579"/>
    <w:rsid w:val="00505587"/>
    <w:rsid w:val="005073C1"/>
    <w:rsid w:val="00507AA4"/>
    <w:rsid w:val="00507CF5"/>
    <w:rsid w:val="00512963"/>
    <w:rsid w:val="005149AA"/>
    <w:rsid w:val="00514B08"/>
    <w:rsid w:val="00516577"/>
    <w:rsid w:val="005167BB"/>
    <w:rsid w:val="00521D3D"/>
    <w:rsid w:val="005222B9"/>
    <w:rsid w:val="00522D60"/>
    <w:rsid w:val="00523ED6"/>
    <w:rsid w:val="00527751"/>
    <w:rsid w:val="0053172F"/>
    <w:rsid w:val="0053202B"/>
    <w:rsid w:val="005353C3"/>
    <w:rsid w:val="005354BE"/>
    <w:rsid w:val="005360DE"/>
    <w:rsid w:val="0053611F"/>
    <w:rsid w:val="00536E36"/>
    <w:rsid w:val="0054086F"/>
    <w:rsid w:val="00541121"/>
    <w:rsid w:val="00541252"/>
    <w:rsid w:val="00541DF8"/>
    <w:rsid w:val="00542302"/>
    <w:rsid w:val="00544B67"/>
    <w:rsid w:val="005502C7"/>
    <w:rsid w:val="00551978"/>
    <w:rsid w:val="00551B2A"/>
    <w:rsid w:val="00551F57"/>
    <w:rsid w:val="00552EA8"/>
    <w:rsid w:val="0055341F"/>
    <w:rsid w:val="00553683"/>
    <w:rsid w:val="00554839"/>
    <w:rsid w:val="00557479"/>
    <w:rsid w:val="00562B65"/>
    <w:rsid w:val="0056317E"/>
    <w:rsid w:val="00563BDE"/>
    <w:rsid w:val="005667B0"/>
    <w:rsid w:val="005709D6"/>
    <w:rsid w:val="005715DE"/>
    <w:rsid w:val="00571D34"/>
    <w:rsid w:val="00573393"/>
    <w:rsid w:val="0057352F"/>
    <w:rsid w:val="005735EE"/>
    <w:rsid w:val="0057570B"/>
    <w:rsid w:val="005758C9"/>
    <w:rsid w:val="005759D6"/>
    <w:rsid w:val="005802F5"/>
    <w:rsid w:val="00580D23"/>
    <w:rsid w:val="00580EDF"/>
    <w:rsid w:val="00581B6C"/>
    <w:rsid w:val="00583D6C"/>
    <w:rsid w:val="00584EE6"/>
    <w:rsid w:val="00585F18"/>
    <w:rsid w:val="00585FDB"/>
    <w:rsid w:val="0058613D"/>
    <w:rsid w:val="00586780"/>
    <w:rsid w:val="00586D82"/>
    <w:rsid w:val="00586F08"/>
    <w:rsid w:val="005901C6"/>
    <w:rsid w:val="00591177"/>
    <w:rsid w:val="00593A3D"/>
    <w:rsid w:val="00593D03"/>
    <w:rsid w:val="00593E3F"/>
    <w:rsid w:val="00594010"/>
    <w:rsid w:val="0059595B"/>
    <w:rsid w:val="0059773F"/>
    <w:rsid w:val="00597BC5"/>
    <w:rsid w:val="00597BF0"/>
    <w:rsid w:val="005A0145"/>
    <w:rsid w:val="005A08CA"/>
    <w:rsid w:val="005A247C"/>
    <w:rsid w:val="005A271F"/>
    <w:rsid w:val="005A4F31"/>
    <w:rsid w:val="005A58DE"/>
    <w:rsid w:val="005A6865"/>
    <w:rsid w:val="005A7214"/>
    <w:rsid w:val="005A75B6"/>
    <w:rsid w:val="005B0151"/>
    <w:rsid w:val="005B264A"/>
    <w:rsid w:val="005B4751"/>
    <w:rsid w:val="005B4FB7"/>
    <w:rsid w:val="005B5137"/>
    <w:rsid w:val="005B53B2"/>
    <w:rsid w:val="005B578A"/>
    <w:rsid w:val="005C0355"/>
    <w:rsid w:val="005C152C"/>
    <w:rsid w:val="005C1EFB"/>
    <w:rsid w:val="005C2BC4"/>
    <w:rsid w:val="005C3C58"/>
    <w:rsid w:val="005C4A84"/>
    <w:rsid w:val="005C6AD6"/>
    <w:rsid w:val="005C6D37"/>
    <w:rsid w:val="005D02C0"/>
    <w:rsid w:val="005D12FA"/>
    <w:rsid w:val="005D1572"/>
    <w:rsid w:val="005D1765"/>
    <w:rsid w:val="005D19FB"/>
    <w:rsid w:val="005D1F0F"/>
    <w:rsid w:val="005D229A"/>
    <w:rsid w:val="005D23AE"/>
    <w:rsid w:val="005D333A"/>
    <w:rsid w:val="005D691B"/>
    <w:rsid w:val="005D6A92"/>
    <w:rsid w:val="005D7E9B"/>
    <w:rsid w:val="005E03C7"/>
    <w:rsid w:val="005E0639"/>
    <w:rsid w:val="005E325D"/>
    <w:rsid w:val="005E40D6"/>
    <w:rsid w:val="005E4432"/>
    <w:rsid w:val="005E4EC4"/>
    <w:rsid w:val="005E5B14"/>
    <w:rsid w:val="005E5D3D"/>
    <w:rsid w:val="005E6BCE"/>
    <w:rsid w:val="005E795F"/>
    <w:rsid w:val="005F116B"/>
    <w:rsid w:val="005F2923"/>
    <w:rsid w:val="005F576D"/>
    <w:rsid w:val="005F7AEA"/>
    <w:rsid w:val="006004A0"/>
    <w:rsid w:val="00602B0E"/>
    <w:rsid w:val="0060556E"/>
    <w:rsid w:val="00607EB8"/>
    <w:rsid w:val="00611F7B"/>
    <w:rsid w:val="00612579"/>
    <w:rsid w:val="006136DC"/>
    <w:rsid w:val="006141F1"/>
    <w:rsid w:val="0061474C"/>
    <w:rsid w:val="00615903"/>
    <w:rsid w:val="00615C44"/>
    <w:rsid w:val="0061667D"/>
    <w:rsid w:val="006178BD"/>
    <w:rsid w:val="00620422"/>
    <w:rsid w:val="00622600"/>
    <w:rsid w:val="0062274F"/>
    <w:rsid w:val="00622DD7"/>
    <w:rsid w:val="0063003E"/>
    <w:rsid w:val="00630592"/>
    <w:rsid w:val="00630A00"/>
    <w:rsid w:val="006318EA"/>
    <w:rsid w:val="006321DE"/>
    <w:rsid w:val="00632CB9"/>
    <w:rsid w:val="00633407"/>
    <w:rsid w:val="00633A18"/>
    <w:rsid w:val="00634C2A"/>
    <w:rsid w:val="00635ECD"/>
    <w:rsid w:val="0064019C"/>
    <w:rsid w:val="00640B95"/>
    <w:rsid w:val="00641D93"/>
    <w:rsid w:val="0064276B"/>
    <w:rsid w:val="00642AE4"/>
    <w:rsid w:val="006437A0"/>
    <w:rsid w:val="00645ACF"/>
    <w:rsid w:val="0064672A"/>
    <w:rsid w:val="00646D03"/>
    <w:rsid w:val="00647560"/>
    <w:rsid w:val="00647690"/>
    <w:rsid w:val="00652960"/>
    <w:rsid w:val="006529A6"/>
    <w:rsid w:val="00653CF5"/>
    <w:rsid w:val="00654374"/>
    <w:rsid w:val="006556B1"/>
    <w:rsid w:val="00655FD9"/>
    <w:rsid w:val="00660290"/>
    <w:rsid w:val="006605AD"/>
    <w:rsid w:val="00660D39"/>
    <w:rsid w:val="006624F1"/>
    <w:rsid w:val="0066324B"/>
    <w:rsid w:val="00663774"/>
    <w:rsid w:val="006637C8"/>
    <w:rsid w:val="00663A27"/>
    <w:rsid w:val="00663C1C"/>
    <w:rsid w:val="00663DDB"/>
    <w:rsid w:val="00664C65"/>
    <w:rsid w:val="006653A4"/>
    <w:rsid w:val="00665924"/>
    <w:rsid w:val="00666999"/>
    <w:rsid w:val="00666E49"/>
    <w:rsid w:val="006671A7"/>
    <w:rsid w:val="0067244A"/>
    <w:rsid w:val="00672A1E"/>
    <w:rsid w:val="00672BEE"/>
    <w:rsid w:val="00674046"/>
    <w:rsid w:val="00675151"/>
    <w:rsid w:val="00676B11"/>
    <w:rsid w:val="00677A5D"/>
    <w:rsid w:val="006805CD"/>
    <w:rsid w:val="00681259"/>
    <w:rsid w:val="00682DC8"/>
    <w:rsid w:val="0068346A"/>
    <w:rsid w:val="00684CEE"/>
    <w:rsid w:val="00686873"/>
    <w:rsid w:val="006902B8"/>
    <w:rsid w:val="00691C34"/>
    <w:rsid w:val="006928BC"/>
    <w:rsid w:val="00694941"/>
    <w:rsid w:val="006953BD"/>
    <w:rsid w:val="006955E9"/>
    <w:rsid w:val="0069770F"/>
    <w:rsid w:val="00697D6A"/>
    <w:rsid w:val="006A048F"/>
    <w:rsid w:val="006A16B8"/>
    <w:rsid w:val="006A30FB"/>
    <w:rsid w:val="006A3E5B"/>
    <w:rsid w:val="006A5362"/>
    <w:rsid w:val="006A5546"/>
    <w:rsid w:val="006A6F23"/>
    <w:rsid w:val="006B0BA3"/>
    <w:rsid w:val="006B2554"/>
    <w:rsid w:val="006B2B34"/>
    <w:rsid w:val="006B4807"/>
    <w:rsid w:val="006B698E"/>
    <w:rsid w:val="006B6C7B"/>
    <w:rsid w:val="006B6CF3"/>
    <w:rsid w:val="006B76C6"/>
    <w:rsid w:val="006B7A9B"/>
    <w:rsid w:val="006B7D75"/>
    <w:rsid w:val="006C0A59"/>
    <w:rsid w:val="006C10BD"/>
    <w:rsid w:val="006C313C"/>
    <w:rsid w:val="006C494A"/>
    <w:rsid w:val="006C5953"/>
    <w:rsid w:val="006C5CA2"/>
    <w:rsid w:val="006C6244"/>
    <w:rsid w:val="006C6816"/>
    <w:rsid w:val="006C713F"/>
    <w:rsid w:val="006D2924"/>
    <w:rsid w:val="006D3302"/>
    <w:rsid w:val="006D382B"/>
    <w:rsid w:val="006D4B38"/>
    <w:rsid w:val="006D5EA6"/>
    <w:rsid w:val="006D696F"/>
    <w:rsid w:val="006D75C5"/>
    <w:rsid w:val="006D7928"/>
    <w:rsid w:val="006D7A72"/>
    <w:rsid w:val="006E00EA"/>
    <w:rsid w:val="006E0599"/>
    <w:rsid w:val="006E1316"/>
    <w:rsid w:val="006E16B7"/>
    <w:rsid w:val="006E1D21"/>
    <w:rsid w:val="006E2297"/>
    <w:rsid w:val="006E3982"/>
    <w:rsid w:val="006E3B5E"/>
    <w:rsid w:val="006E4D83"/>
    <w:rsid w:val="006E4F9D"/>
    <w:rsid w:val="006E5BC0"/>
    <w:rsid w:val="006E6F2C"/>
    <w:rsid w:val="006E7AC0"/>
    <w:rsid w:val="006F0B35"/>
    <w:rsid w:val="006F20D0"/>
    <w:rsid w:val="006F2404"/>
    <w:rsid w:val="006F3807"/>
    <w:rsid w:val="006F3CEA"/>
    <w:rsid w:val="006F3FFC"/>
    <w:rsid w:val="006F486E"/>
    <w:rsid w:val="007004D2"/>
    <w:rsid w:val="00700591"/>
    <w:rsid w:val="00700C2A"/>
    <w:rsid w:val="00701C60"/>
    <w:rsid w:val="0070225E"/>
    <w:rsid w:val="007041CC"/>
    <w:rsid w:val="00704818"/>
    <w:rsid w:val="00704C3F"/>
    <w:rsid w:val="007065AF"/>
    <w:rsid w:val="00706969"/>
    <w:rsid w:val="00706A91"/>
    <w:rsid w:val="007070EA"/>
    <w:rsid w:val="0071147B"/>
    <w:rsid w:val="00711DDF"/>
    <w:rsid w:val="0071247A"/>
    <w:rsid w:val="00714603"/>
    <w:rsid w:val="00714C08"/>
    <w:rsid w:val="00715F65"/>
    <w:rsid w:val="007166E4"/>
    <w:rsid w:val="007175C5"/>
    <w:rsid w:val="00717B1E"/>
    <w:rsid w:val="00720120"/>
    <w:rsid w:val="007230ED"/>
    <w:rsid w:val="00723190"/>
    <w:rsid w:val="007240CD"/>
    <w:rsid w:val="007244FE"/>
    <w:rsid w:val="0072530D"/>
    <w:rsid w:val="00726005"/>
    <w:rsid w:val="007269AE"/>
    <w:rsid w:val="0073089F"/>
    <w:rsid w:val="0073126C"/>
    <w:rsid w:val="0073194E"/>
    <w:rsid w:val="00735DCD"/>
    <w:rsid w:val="0073690B"/>
    <w:rsid w:val="00737232"/>
    <w:rsid w:val="00743F40"/>
    <w:rsid w:val="007446E1"/>
    <w:rsid w:val="00750EF4"/>
    <w:rsid w:val="00752427"/>
    <w:rsid w:val="0075276F"/>
    <w:rsid w:val="0075358B"/>
    <w:rsid w:val="00754297"/>
    <w:rsid w:val="00754524"/>
    <w:rsid w:val="00757947"/>
    <w:rsid w:val="00757F89"/>
    <w:rsid w:val="0076117C"/>
    <w:rsid w:val="00761D96"/>
    <w:rsid w:val="007627E4"/>
    <w:rsid w:val="0076462B"/>
    <w:rsid w:val="00764D2F"/>
    <w:rsid w:val="007655FB"/>
    <w:rsid w:val="00766473"/>
    <w:rsid w:val="00766A89"/>
    <w:rsid w:val="0077028A"/>
    <w:rsid w:val="00770C24"/>
    <w:rsid w:val="00770C5B"/>
    <w:rsid w:val="0077176C"/>
    <w:rsid w:val="007724FB"/>
    <w:rsid w:val="00773B54"/>
    <w:rsid w:val="0077471C"/>
    <w:rsid w:val="00774BE0"/>
    <w:rsid w:val="00774EB2"/>
    <w:rsid w:val="0077582E"/>
    <w:rsid w:val="00775B70"/>
    <w:rsid w:val="00776E3E"/>
    <w:rsid w:val="007771A2"/>
    <w:rsid w:val="00777507"/>
    <w:rsid w:val="0078077A"/>
    <w:rsid w:val="007827B1"/>
    <w:rsid w:val="007842EF"/>
    <w:rsid w:val="00785BE0"/>
    <w:rsid w:val="00787D57"/>
    <w:rsid w:val="0079014A"/>
    <w:rsid w:val="007929B5"/>
    <w:rsid w:val="00793087"/>
    <w:rsid w:val="00793B68"/>
    <w:rsid w:val="00795DF0"/>
    <w:rsid w:val="00795DFC"/>
    <w:rsid w:val="00795FD4"/>
    <w:rsid w:val="007961D0"/>
    <w:rsid w:val="00796384"/>
    <w:rsid w:val="00796969"/>
    <w:rsid w:val="0079704C"/>
    <w:rsid w:val="007A0AB1"/>
    <w:rsid w:val="007A1AE4"/>
    <w:rsid w:val="007A3875"/>
    <w:rsid w:val="007A41BD"/>
    <w:rsid w:val="007A483F"/>
    <w:rsid w:val="007A6139"/>
    <w:rsid w:val="007A6624"/>
    <w:rsid w:val="007B0FB5"/>
    <w:rsid w:val="007B19A2"/>
    <w:rsid w:val="007B1ABA"/>
    <w:rsid w:val="007B245E"/>
    <w:rsid w:val="007B2E83"/>
    <w:rsid w:val="007B3AA5"/>
    <w:rsid w:val="007B5F82"/>
    <w:rsid w:val="007B6606"/>
    <w:rsid w:val="007C08F5"/>
    <w:rsid w:val="007C0F21"/>
    <w:rsid w:val="007C15AA"/>
    <w:rsid w:val="007C5954"/>
    <w:rsid w:val="007C5F14"/>
    <w:rsid w:val="007C68D9"/>
    <w:rsid w:val="007C7467"/>
    <w:rsid w:val="007D072C"/>
    <w:rsid w:val="007D0DD5"/>
    <w:rsid w:val="007D184A"/>
    <w:rsid w:val="007D3480"/>
    <w:rsid w:val="007D3905"/>
    <w:rsid w:val="007D4EE8"/>
    <w:rsid w:val="007D6A3D"/>
    <w:rsid w:val="007E14D8"/>
    <w:rsid w:val="007E190A"/>
    <w:rsid w:val="007E219A"/>
    <w:rsid w:val="007E2795"/>
    <w:rsid w:val="007E6DFC"/>
    <w:rsid w:val="007E7080"/>
    <w:rsid w:val="007E7398"/>
    <w:rsid w:val="007E77D6"/>
    <w:rsid w:val="007E780B"/>
    <w:rsid w:val="007E7914"/>
    <w:rsid w:val="007F0BAD"/>
    <w:rsid w:val="007F1124"/>
    <w:rsid w:val="007F1F72"/>
    <w:rsid w:val="007F227E"/>
    <w:rsid w:val="007F349E"/>
    <w:rsid w:val="007F362E"/>
    <w:rsid w:val="007F3EA0"/>
    <w:rsid w:val="007F513D"/>
    <w:rsid w:val="007F555C"/>
    <w:rsid w:val="007F59B8"/>
    <w:rsid w:val="007F68EC"/>
    <w:rsid w:val="007F71FD"/>
    <w:rsid w:val="007F7779"/>
    <w:rsid w:val="007F7CD5"/>
    <w:rsid w:val="0080208A"/>
    <w:rsid w:val="00804955"/>
    <w:rsid w:val="00805082"/>
    <w:rsid w:val="00807527"/>
    <w:rsid w:val="00810CA5"/>
    <w:rsid w:val="00812783"/>
    <w:rsid w:val="00813F82"/>
    <w:rsid w:val="00815DC0"/>
    <w:rsid w:val="00816630"/>
    <w:rsid w:val="00816A37"/>
    <w:rsid w:val="00817C87"/>
    <w:rsid w:val="00817EFB"/>
    <w:rsid w:val="00821608"/>
    <w:rsid w:val="0082459E"/>
    <w:rsid w:val="0082495F"/>
    <w:rsid w:val="00824CB9"/>
    <w:rsid w:val="00827B9A"/>
    <w:rsid w:val="008307D3"/>
    <w:rsid w:val="00833F83"/>
    <w:rsid w:val="008342A4"/>
    <w:rsid w:val="00834B56"/>
    <w:rsid w:val="00836191"/>
    <w:rsid w:val="008375E9"/>
    <w:rsid w:val="00837DB2"/>
    <w:rsid w:val="00840641"/>
    <w:rsid w:val="00841E34"/>
    <w:rsid w:val="008471C5"/>
    <w:rsid w:val="00850451"/>
    <w:rsid w:val="008504F7"/>
    <w:rsid w:val="008536A8"/>
    <w:rsid w:val="008556CB"/>
    <w:rsid w:val="00855FD3"/>
    <w:rsid w:val="00861BF8"/>
    <w:rsid w:val="008625BF"/>
    <w:rsid w:val="00863BD2"/>
    <w:rsid w:val="00865805"/>
    <w:rsid w:val="0086619D"/>
    <w:rsid w:val="00867958"/>
    <w:rsid w:val="00867E27"/>
    <w:rsid w:val="00870597"/>
    <w:rsid w:val="008706F4"/>
    <w:rsid w:val="00871013"/>
    <w:rsid w:val="00871069"/>
    <w:rsid w:val="0087197B"/>
    <w:rsid w:val="00871F19"/>
    <w:rsid w:val="00873273"/>
    <w:rsid w:val="00873519"/>
    <w:rsid w:val="00873BC5"/>
    <w:rsid w:val="008747D2"/>
    <w:rsid w:val="008755E2"/>
    <w:rsid w:val="008755F5"/>
    <w:rsid w:val="00875C1C"/>
    <w:rsid w:val="00876728"/>
    <w:rsid w:val="00877304"/>
    <w:rsid w:val="008809F7"/>
    <w:rsid w:val="00880E25"/>
    <w:rsid w:val="00881037"/>
    <w:rsid w:val="0088193C"/>
    <w:rsid w:val="008828A3"/>
    <w:rsid w:val="00883358"/>
    <w:rsid w:val="008850E3"/>
    <w:rsid w:val="00885C45"/>
    <w:rsid w:val="00890056"/>
    <w:rsid w:val="00890A4D"/>
    <w:rsid w:val="00891F8F"/>
    <w:rsid w:val="00892084"/>
    <w:rsid w:val="00893D71"/>
    <w:rsid w:val="00895165"/>
    <w:rsid w:val="008A18A3"/>
    <w:rsid w:val="008A1A21"/>
    <w:rsid w:val="008A1C2B"/>
    <w:rsid w:val="008A3C67"/>
    <w:rsid w:val="008A51C0"/>
    <w:rsid w:val="008A5FF9"/>
    <w:rsid w:val="008A6DE7"/>
    <w:rsid w:val="008B1104"/>
    <w:rsid w:val="008B26EF"/>
    <w:rsid w:val="008B2B40"/>
    <w:rsid w:val="008B5430"/>
    <w:rsid w:val="008B6E4A"/>
    <w:rsid w:val="008B7C42"/>
    <w:rsid w:val="008C5683"/>
    <w:rsid w:val="008C5884"/>
    <w:rsid w:val="008C671C"/>
    <w:rsid w:val="008D1C3C"/>
    <w:rsid w:val="008D2BF7"/>
    <w:rsid w:val="008D38C4"/>
    <w:rsid w:val="008D59D9"/>
    <w:rsid w:val="008D5AF7"/>
    <w:rsid w:val="008D68AC"/>
    <w:rsid w:val="008E2019"/>
    <w:rsid w:val="008E374F"/>
    <w:rsid w:val="008E6FA3"/>
    <w:rsid w:val="008E7AD2"/>
    <w:rsid w:val="008F2305"/>
    <w:rsid w:val="008F2871"/>
    <w:rsid w:val="008F3A8B"/>
    <w:rsid w:val="008F3C65"/>
    <w:rsid w:val="008F6A58"/>
    <w:rsid w:val="008F6E4A"/>
    <w:rsid w:val="00900230"/>
    <w:rsid w:val="0090056A"/>
    <w:rsid w:val="00901AD0"/>
    <w:rsid w:val="00901C60"/>
    <w:rsid w:val="0090223C"/>
    <w:rsid w:val="0090290C"/>
    <w:rsid w:val="00904584"/>
    <w:rsid w:val="009045A5"/>
    <w:rsid w:val="0090587F"/>
    <w:rsid w:val="00906026"/>
    <w:rsid w:val="0090614D"/>
    <w:rsid w:val="0090643D"/>
    <w:rsid w:val="00906BCB"/>
    <w:rsid w:val="009076DB"/>
    <w:rsid w:val="00911305"/>
    <w:rsid w:val="00911672"/>
    <w:rsid w:val="00911766"/>
    <w:rsid w:val="009150CA"/>
    <w:rsid w:val="009152B2"/>
    <w:rsid w:val="00916079"/>
    <w:rsid w:val="00917AB4"/>
    <w:rsid w:val="00917C5C"/>
    <w:rsid w:val="00921061"/>
    <w:rsid w:val="00922FCA"/>
    <w:rsid w:val="00924671"/>
    <w:rsid w:val="00924E8B"/>
    <w:rsid w:val="00925A1F"/>
    <w:rsid w:val="00926985"/>
    <w:rsid w:val="00926B20"/>
    <w:rsid w:val="00926BA5"/>
    <w:rsid w:val="009272F0"/>
    <w:rsid w:val="00927E28"/>
    <w:rsid w:val="0093010B"/>
    <w:rsid w:val="009313FA"/>
    <w:rsid w:val="00931AF4"/>
    <w:rsid w:val="00931D05"/>
    <w:rsid w:val="00934B88"/>
    <w:rsid w:val="0093500B"/>
    <w:rsid w:val="009354C1"/>
    <w:rsid w:val="0093563E"/>
    <w:rsid w:val="00935A4C"/>
    <w:rsid w:val="00936F9A"/>
    <w:rsid w:val="00941270"/>
    <w:rsid w:val="00941FF2"/>
    <w:rsid w:val="00943410"/>
    <w:rsid w:val="00947223"/>
    <w:rsid w:val="00947B0E"/>
    <w:rsid w:val="0095120A"/>
    <w:rsid w:val="00952626"/>
    <w:rsid w:val="0095285E"/>
    <w:rsid w:val="00952E9C"/>
    <w:rsid w:val="00954E60"/>
    <w:rsid w:val="00961866"/>
    <w:rsid w:val="00961B04"/>
    <w:rsid w:val="00962E0E"/>
    <w:rsid w:val="00963068"/>
    <w:rsid w:val="009631E5"/>
    <w:rsid w:val="00964311"/>
    <w:rsid w:val="009673DC"/>
    <w:rsid w:val="0097016D"/>
    <w:rsid w:val="009712B3"/>
    <w:rsid w:val="00971964"/>
    <w:rsid w:val="009755DA"/>
    <w:rsid w:val="00975969"/>
    <w:rsid w:val="00975C8B"/>
    <w:rsid w:val="00976F70"/>
    <w:rsid w:val="00977771"/>
    <w:rsid w:val="00980CC1"/>
    <w:rsid w:val="00984A65"/>
    <w:rsid w:val="00985D50"/>
    <w:rsid w:val="0098655D"/>
    <w:rsid w:val="009867AB"/>
    <w:rsid w:val="009871BA"/>
    <w:rsid w:val="009871E6"/>
    <w:rsid w:val="009903C2"/>
    <w:rsid w:val="00991552"/>
    <w:rsid w:val="00991A20"/>
    <w:rsid w:val="00992AD2"/>
    <w:rsid w:val="009944F3"/>
    <w:rsid w:val="00994721"/>
    <w:rsid w:val="009953E7"/>
    <w:rsid w:val="009A0A6F"/>
    <w:rsid w:val="009A27C6"/>
    <w:rsid w:val="009A34EA"/>
    <w:rsid w:val="009A5D4F"/>
    <w:rsid w:val="009A6F1F"/>
    <w:rsid w:val="009A7A86"/>
    <w:rsid w:val="009A7AE4"/>
    <w:rsid w:val="009A7DEB"/>
    <w:rsid w:val="009B150A"/>
    <w:rsid w:val="009B4444"/>
    <w:rsid w:val="009B5EBD"/>
    <w:rsid w:val="009B6057"/>
    <w:rsid w:val="009B71D0"/>
    <w:rsid w:val="009C0E7F"/>
    <w:rsid w:val="009C15BB"/>
    <w:rsid w:val="009C17F9"/>
    <w:rsid w:val="009C1C10"/>
    <w:rsid w:val="009C1D25"/>
    <w:rsid w:val="009C2604"/>
    <w:rsid w:val="009C44BF"/>
    <w:rsid w:val="009C63E5"/>
    <w:rsid w:val="009C69BA"/>
    <w:rsid w:val="009C7437"/>
    <w:rsid w:val="009D01B8"/>
    <w:rsid w:val="009D0697"/>
    <w:rsid w:val="009D237C"/>
    <w:rsid w:val="009D2554"/>
    <w:rsid w:val="009D25ED"/>
    <w:rsid w:val="009D3601"/>
    <w:rsid w:val="009D3A73"/>
    <w:rsid w:val="009E033C"/>
    <w:rsid w:val="009E060D"/>
    <w:rsid w:val="009E0B5D"/>
    <w:rsid w:val="009E32A2"/>
    <w:rsid w:val="009E3340"/>
    <w:rsid w:val="009E405D"/>
    <w:rsid w:val="009E484B"/>
    <w:rsid w:val="009E4BF6"/>
    <w:rsid w:val="009E56FC"/>
    <w:rsid w:val="009F0D17"/>
    <w:rsid w:val="009F1979"/>
    <w:rsid w:val="009F2F47"/>
    <w:rsid w:val="009F3580"/>
    <w:rsid w:val="009F3864"/>
    <w:rsid w:val="009F5894"/>
    <w:rsid w:val="009F5C19"/>
    <w:rsid w:val="009F6426"/>
    <w:rsid w:val="00A0130E"/>
    <w:rsid w:val="00A01D20"/>
    <w:rsid w:val="00A06AE9"/>
    <w:rsid w:val="00A072F6"/>
    <w:rsid w:val="00A117B2"/>
    <w:rsid w:val="00A1193E"/>
    <w:rsid w:val="00A123F1"/>
    <w:rsid w:val="00A129B3"/>
    <w:rsid w:val="00A131D9"/>
    <w:rsid w:val="00A14C47"/>
    <w:rsid w:val="00A159CB"/>
    <w:rsid w:val="00A166DD"/>
    <w:rsid w:val="00A1772E"/>
    <w:rsid w:val="00A17759"/>
    <w:rsid w:val="00A22118"/>
    <w:rsid w:val="00A23083"/>
    <w:rsid w:val="00A258F8"/>
    <w:rsid w:val="00A25EE1"/>
    <w:rsid w:val="00A27087"/>
    <w:rsid w:val="00A279C7"/>
    <w:rsid w:val="00A30452"/>
    <w:rsid w:val="00A30C26"/>
    <w:rsid w:val="00A3202A"/>
    <w:rsid w:val="00A36B3F"/>
    <w:rsid w:val="00A405A8"/>
    <w:rsid w:val="00A40A2D"/>
    <w:rsid w:val="00A4162F"/>
    <w:rsid w:val="00A426A5"/>
    <w:rsid w:val="00A428D5"/>
    <w:rsid w:val="00A42B68"/>
    <w:rsid w:val="00A46432"/>
    <w:rsid w:val="00A50F1E"/>
    <w:rsid w:val="00A52347"/>
    <w:rsid w:val="00A53423"/>
    <w:rsid w:val="00A5572E"/>
    <w:rsid w:val="00A64186"/>
    <w:rsid w:val="00A66988"/>
    <w:rsid w:val="00A67B0A"/>
    <w:rsid w:val="00A7138B"/>
    <w:rsid w:val="00A71432"/>
    <w:rsid w:val="00A72604"/>
    <w:rsid w:val="00A72ED4"/>
    <w:rsid w:val="00A72F09"/>
    <w:rsid w:val="00A73F49"/>
    <w:rsid w:val="00A75696"/>
    <w:rsid w:val="00A80F0D"/>
    <w:rsid w:val="00A830EC"/>
    <w:rsid w:val="00A83C62"/>
    <w:rsid w:val="00A83D02"/>
    <w:rsid w:val="00A83F9B"/>
    <w:rsid w:val="00A84080"/>
    <w:rsid w:val="00A842AC"/>
    <w:rsid w:val="00A8461E"/>
    <w:rsid w:val="00A84C27"/>
    <w:rsid w:val="00A85DDD"/>
    <w:rsid w:val="00A85FAC"/>
    <w:rsid w:val="00A8799E"/>
    <w:rsid w:val="00A9303D"/>
    <w:rsid w:val="00A93E2A"/>
    <w:rsid w:val="00A947B6"/>
    <w:rsid w:val="00A97CDC"/>
    <w:rsid w:val="00AA01D6"/>
    <w:rsid w:val="00AA2852"/>
    <w:rsid w:val="00AA4233"/>
    <w:rsid w:val="00AA518F"/>
    <w:rsid w:val="00AA5B6C"/>
    <w:rsid w:val="00AA7913"/>
    <w:rsid w:val="00AB3340"/>
    <w:rsid w:val="00AB44CD"/>
    <w:rsid w:val="00AB5B5D"/>
    <w:rsid w:val="00AB6B5C"/>
    <w:rsid w:val="00AB72AB"/>
    <w:rsid w:val="00AC0E68"/>
    <w:rsid w:val="00AC0E76"/>
    <w:rsid w:val="00AC1659"/>
    <w:rsid w:val="00AC235E"/>
    <w:rsid w:val="00AC3517"/>
    <w:rsid w:val="00AC4832"/>
    <w:rsid w:val="00AC695A"/>
    <w:rsid w:val="00AC697F"/>
    <w:rsid w:val="00AC70C2"/>
    <w:rsid w:val="00AC7713"/>
    <w:rsid w:val="00AC7A1E"/>
    <w:rsid w:val="00AD267A"/>
    <w:rsid w:val="00AD2B33"/>
    <w:rsid w:val="00AD2FD6"/>
    <w:rsid w:val="00AD3027"/>
    <w:rsid w:val="00AD3509"/>
    <w:rsid w:val="00AD3535"/>
    <w:rsid w:val="00AD35D1"/>
    <w:rsid w:val="00AD3CAE"/>
    <w:rsid w:val="00AD5E53"/>
    <w:rsid w:val="00AD738C"/>
    <w:rsid w:val="00AE0A45"/>
    <w:rsid w:val="00AE14BE"/>
    <w:rsid w:val="00AE164F"/>
    <w:rsid w:val="00AE35CD"/>
    <w:rsid w:val="00AE3AA3"/>
    <w:rsid w:val="00AE3CE5"/>
    <w:rsid w:val="00AE499E"/>
    <w:rsid w:val="00AE5428"/>
    <w:rsid w:val="00AE54FD"/>
    <w:rsid w:val="00AE56A7"/>
    <w:rsid w:val="00AF3525"/>
    <w:rsid w:val="00AF37AB"/>
    <w:rsid w:val="00AF41DD"/>
    <w:rsid w:val="00AF6185"/>
    <w:rsid w:val="00AF748C"/>
    <w:rsid w:val="00AF764A"/>
    <w:rsid w:val="00B00295"/>
    <w:rsid w:val="00B01DBE"/>
    <w:rsid w:val="00B0248F"/>
    <w:rsid w:val="00B02576"/>
    <w:rsid w:val="00B04270"/>
    <w:rsid w:val="00B131D3"/>
    <w:rsid w:val="00B13CC8"/>
    <w:rsid w:val="00B14676"/>
    <w:rsid w:val="00B14A98"/>
    <w:rsid w:val="00B1570B"/>
    <w:rsid w:val="00B16A0E"/>
    <w:rsid w:val="00B16FC7"/>
    <w:rsid w:val="00B17605"/>
    <w:rsid w:val="00B2185A"/>
    <w:rsid w:val="00B22B49"/>
    <w:rsid w:val="00B27536"/>
    <w:rsid w:val="00B30F6B"/>
    <w:rsid w:val="00B357E7"/>
    <w:rsid w:val="00B3600B"/>
    <w:rsid w:val="00B402A1"/>
    <w:rsid w:val="00B411A9"/>
    <w:rsid w:val="00B41AA8"/>
    <w:rsid w:val="00B43403"/>
    <w:rsid w:val="00B44ED1"/>
    <w:rsid w:val="00B47925"/>
    <w:rsid w:val="00B47B40"/>
    <w:rsid w:val="00B50B4A"/>
    <w:rsid w:val="00B5161A"/>
    <w:rsid w:val="00B52539"/>
    <w:rsid w:val="00B52658"/>
    <w:rsid w:val="00B53597"/>
    <w:rsid w:val="00B5373D"/>
    <w:rsid w:val="00B54273"/>
    <w:rsid w:val="00B55C23"/>
    <w:rsid w:val="00B56E30"/>
    <w:rsid w:val="00B5734F"/>
    <w:rsid w:val="00B6094A"/>
    <w:rsid w:val="00B64148"/>
    <w:rsid w:val="00B65DE4"/>
    <w:rsid w:val="00B66180"/>
    <w:rsid w:val="00B715E6"/>
    <w:rsid w:val="00B7498C"/>
    <w:rsid w:val="00B77529"/>
    <w:rsid w:val="00B77EE5"/>
    <w:rsid w:val="00B8066B"/>
    <w:rsid w:val="00B808A6"/>
    <w:rsid w:val="00B82BF7"/>
    <w:rsid w:val="00B83E3D"/>
    <w:rsid w:val="00B84DAB"/>
    <w:rsid w:val="00B856D7"/>
    <w:rsid w:val="00B87265"/>
    <w:rsid w:val="00B87513"/>
    <w:rsid w:val="00B92E0D"/>
    <w:rsid w:val="00B931A9"/>
    <w:rsid w:val="00B93B36"/>
    <w:rsid w:val="00B943DF"/>
    <w:rsid w:val="00B9558D"/>
    <w:rsid w:val="00B96303"/>
    <w:rsid w:val="00B966DC"/>
    <w:rsid w:val="00BA1259"/>
    <w:rsid w:val="00BA1419"/>
    <w:rsid w:val="00BA1C38"/>
    <w:rsid w:val="00BA3E51"/>
    <w:rsid w:val="00BA41E2"/>
    <w:rsid w:val="00BA43A4"/>
    <w:rsid w:val="00BA6F95"/>
    <w:rsid w:val="00BB09DD"/>
    <w:rsid w:val="00BB3F20"/>
    <w:rsid w:val="00BB7BFB"/>
    <w:rsid w:val="00BC2D7D"/>
    <w:rsid w:val="00BC3418"/>
    <w:rsid w:val="00BC4818"/>
    <w:rsid w:val="00BD11C0"/>
    <w:rsid w:val="00BD1ED8"/>
    <w:rsid w:val="00BD3391"/>
    <w:rsid w:val="00BD3569"/>
    <w:rsid w:val="00BD3F66"/>
    <w:rsid w:val="00BD4D2D"/>
    <w:rsid w:val="00BD5348"/>
    <w:rsid w:val="00BD7107"/>
    <w:rsid w:val="00BE0C79"/>
    <w:rsid w:val="00BE0E98"/>
    <w:rsid w:val="00BE12A8"/>
    <w:rsid w:val="00BE2054"/>
    <w:rsid w:val="00BE2BA9"/>
    <w:rsid w:val="00BE495F"/>
    <w:rsid w:val="00BE4DE0"/>
    <w:rsid w:val="00BE6087"/>
    <w:rsid w:val="00BE6CB4"/>
    <w:rsid w:val="00BE775F"/>
    <w:rsid w:val="00BF10B0"/>
    <w:rsid w:val="00BF10D8"/>
    <w:rsid w:val="00BF12BE"/>
    <w:rsid w:val="00BF2C62"/>
    <w:rsid w:val="00BF39B0"/>
    <w:rsid w:val="00BF499F"/>
    <w:rsid w:val="00BF5EDB"/>
    <w:rsid w:val="00BF75A2"/>
    <w:rsid w:val="00BF7F72"/>
    <w:rsid w:val="00C008A1"/>
    <w:rsid w:val="00C01F70"/>
    <w:rsid w:val="00C0281C"/>
    <w:rsid w:val="00C02C46"/>
    <w:rsid w:val="00C035CF"/>
    <w:rsid w:val="00C03DAC"/>
    <w:rsid w:val="00C049DC"/>
    <w:rsid w:val="00C05FB9"/>
    <w:rsid w:val="00C06993"/>
    <w:rsid w:val="00C07214"/>
    <w:rsid w:val="00C121E1"/>
    <w:rsid w:val="00C125E2"/>
    <w:rsid w:val="00C129B5"/>
    <w:rsid w:val="00C12C3D"/>
    <w:rsid w:val="00C133D1"/>
    <w:rsid w:val="00C14858"/>
    <w:rsid w:val="00C15049"/>
    <w:rsid w:val="00C15BFF"/>
    <w:rsid w:val="00C15E65"/>
    <w:rsid w:val="00C16CB5"/>
    <w:rsid w:val="00C20335"/>
    <w:rsid w:val="00C207F2"/>
    <w:rsid w:val="00C22115"/>
    <w:rsid w:val="00C23207"/>
    <w:rsid w:val="00C261F4"/>
    <w:rsid w:val="00C27B54"/>
    <w:rsid w:val="00C27FBC"/>
    <w:rsid w:val="00C30F70"/>
    <w:rsid w:val="00C312B4"/>
    <w:rsid w:val="00C31579"/>
    <w:rsid w:val="00C339A7"/>
    <w:rsid w:val="00C33E9B"/>
    <w:rsid w:val="00C33F72"/>
    <w:rsid w:val="00C356A1"/>
    <w:rsid w:val="00C372ED"/>
    <w:rsid w:val="00C40162"/>
    <w:rsid w:val="00C402D4"/>
    <w:rsid w:val="00C41176"/>
    <w:rsid w:val="00C4198C"/>
    <w:rsid w:val="00C43600"/>
    <w:rsid w:val="00C43A41"/>
    <w:rsid w:val="00C445E7"/>
    <w:rsid w:val="00C45E20"/>
    <w:rsid w:val="00C47AF7"/>
    <w:rsid w:val="00C50E97"/>
    <w:rsid w:val="00C527A8"/>
    <w:rsid w:val="00C5289C"/>
    <w:rsid w:val="00C53ECD"/>
    <w:rsid w:val="00C56F08"/>
    <w:rsid w:val="00C608D3"/>
    <w:rsid w:val="00C62045"/>
    <w:rsid w:val="00C63BB4"/>
    <w:rsid w:val="00C64003"/>
    <w:rsid w:val="00C64758"/>
    <w:rsid w:val="00C6598E"/>
    <w:rsid w:val="00C660A8"/>
    <w:rsid w:val="00C66732"/>
    <w:rsid w:val="00C67878"/>
    <w:rsid w:val="00C703BC"/>
    <w:rsid w:val="00C70A47"/>
    <w:rsid w:val="00C71431"/>
    <w:rsid w:val="00C72EA4"/>
    <w:rsid w:val="00C734D7"/>
    <w:rsid w:val="00C7596E"/>
    <w:rsid w:val="00C8099C"/>
    <w:rsid w:val="00C81768"/>
    <w:rsid w:val="00C831ED"/>
    <w:rsid w:val="00C83533"/>
    <w:rsid w:val="00C84AC6"/>
    <w:rsid w:val="00C84AD4"/>
    <w:rsid w:val="00C84F4B"/>
    <w:rsid w:val="00C850F9"/>
    <w:rsid w:val="00C85520"/>
    <w:rsid w:val="00C867D3"/>
    <w:rsid w:val="00C86BE0"/>
    <w:rsid w:val="00C875D8"/>
    <w:rsid w:val="00C877F9"/>
    <w:rsid w:val="00C95BCB"/>
    <w:rsid w:val="00C97366"/>
    <w:rsid w:val="00C9744A"/>
    <w:rsid w:val="00CA04A5"/>
    <w:rsid w:val="00CA0AEF"/>
    <w:rsid w:val="00CA0E53"/>
    <w:rsid w:val="00CA375D"/>
    <w:rsid w:val="00CA381F"/>
    <w:rsid w:val="00CA38AE"/>
    <w:rsid w:val="00CA5299"/>
    <w:rsid w:val="00CA577F"/>
    <w:rsid w:val="00CA6025"/>
    <w:rsid w:val="00CA69DA"/>
    <w:rsid w:val="00CB1601"/>
    <w:rsid w:val="00CB26F9"/>
    <w:rsid w:val="00CB4BD1"/>
    <w:rsid w:val="00CB784F"/>
    <w:rsid w:val="00CB7ABF"/>
    <w:rsid w:val="00CC041C"/>
    <w:rsid w:val="00CC16F6"/>
    <w:rsid w:val="00CC177D"/>
    <w:rsid w:val="00CC251E"/>
    <w:rsid w:val="00CC2A1B"/>
    <w:rsid w:val="00CC35FF"/>
    <w:rsid w:val="00CC572F"/>
    <w:rsid w:val="00CC6D7B"/>
    <w:rsid w:val="00CC72BA"/>
    <w:rsid w:val="00CD00D7"/>
    <w:rsid w:val="00CD0DF3"/>
    <w:rsid w:val="00CD20BE"/>
    <w:rsid w:val="00CD26C1"/>
    <w:rsid w:val="00CD2D63"/>
    <w:rsid w:val="00CD3320"/>
    <w:rsid w:val="00CD3A62"/>
    <w:rsid w:val="00CD59CB"/>
    <w:rsid w:val="00CD6536"/>
    <w:rsid w:val="00CE01A8"/>
    <w:rsid w:val="00CE220D"/>
    <w:rsid w:val="00CE3C73"/>
    <w:rsid w:val="00CE436E"/>
    <w:rsid w:val="00CE4719"/>
    <w:rsid w:val="00CE534E"/>
    <w:rsid w:val="00CE5D51"/>
    <w:rsid w:val="00CE6C72"/>
    <w:rsid w:val="00CE7077"/>
    <w:rsid w:val="00CF1D65"/>
    <w:rsid w:val="00CF4018"/>
    <w:rsid w:val="00CF562C"/>
    <w:rsid w:val="00CF5645"/>
    <w:rsid w:val="00D00318"/>
    <w:rsid w:val="00D0119B"/>
    <w:rsid w:val="00D022E2"/>
    <w:rsid w:val="00D04A28"/>
    <w:rsid w:val="00D05DCE"/>
    <w:rsid w:val="00D10353"/>
    <w:rsid w:val="00D118CA"/>
    <w:rsid w:val="00D12287"/>
    <w:rsid w:val="00D14B33"/>
    <w:rsid w:val="00D151EC"/>
    <w:rsid w:val="00D163BA"/>
    <w:rsid w:val="00D207D0"/>
    <w:rsid w:val="00D21C94"/>
    <w:rsid w:val="00D21EE5"/>
    <w:rsid w:val="00D24A11"/>
    <w:rsid w:val="00D307C7"/>
    <w:rsid w:val="00D30A29"/>
    <w:rsid w:val="00D3154A"/>
    <w:rsid w:val="00D319B7"/>
    <w:rsid w:val="00D34B42"/>
    <w:rsid w:val="00D36048"/>
    <w:rsid w:val="00D36781"/>
    <w:rsid w:val="00D40C30"/>
    <w:rsid w:val="00D41EB0"/>
    <w:rsid w:val="00D4202F"/>
    <w:rsid w:val="00D4332D"/>
    <w:rsid w:val="00D4532A"/>
    <w:rsid w:val="00D45FC6"/>
    <w:rsid w:val="00D46258"/>
    <w:rsid w:val="00D464E8"/>
    <w:rsid w:val="00D47BB9"/>
    <w:rsid w:val="00D5348C"/>
    <w:rsid w:val="00D55C32"/>
    <w:rsid w:val="00D60231"/>
    <w:rsid w:val="00D60FBE"/>
    <w:rsid w:val="00D617A7"/>
    <w:rsid w:val="00D62D42"/>
    <w:rsid w:val="00D7011C"/>
    <w:rsid w:val="00D70D66"/>
    <w:rsid w:val="00D729EA"/>
    <w:rsid w:val="00D736D5"/>
    <w:rsid w:val="00D747B3"/>
    <w:rsid w:val="00D759D4"/>
    <w:rsid w:val="00D76848"/>
    <w:rsid w:val="00D82BDD"/>
    <w:rsid w:val="00D83D40"/>
    <w:rsid w:val="00D83D52"/>
    <w:rsid w:val="00D83EBC"/>
    <w:rsid w:val="00D8401D"/>
    <w:rsid w:val="00D858D7"/>
    <w:rsid w:val="00D85D58"/>
    <w:rsid w:val="00D860F1"/>
    <w:rsid w:val="00D86B6C"/>
    <w:rsid w:val="00D91F1E"/>
    <w:rsid w:val="00D93692"/>
    <w:rsid w:val="00D94C49"/>
    <w:rsid w:val="00D95019"/>
    <w:rsid w:val="00D951E1"/>
    <w:rsid w:val="00D97B57"/>
    <w:rsid w:val="00D97B7E"/>
    <w:rsid w:val="00DA434D"/>
    <w:rsid w:val="00DA4D22"/>
    <w:rsid w:val="00DA4F1A"/>
    <w:rsid w:val="00DA6D10"/>
    <w:rsid w:val="00DB0462"/>
    <w:rsid w:val="00DB0C9B"/>
    <w:rsid w:val="00DB3479"/>
    <w:rsid w:val="00DB42AD"/>
    <w:rsid w:val="00DB4FA5"/>
    <w:rsid w:val="00DB5760"/>
    <w:rsid w:val="00DB660F"/>
    <w:rsid w:val="00DB7050"/>
    <w:rsid w:val="00DB772C"/>
    <w:rsid w:val="00DC0221"/>
    <w:rsid w:val="00DC0EE1"/>
    <w:rsid w:val="00DC39FC"/>
    <w:rsid w:val="00DC5D05"/>
    <w:rsid w:val="00DC79CC"/>
    <w:rsid w:val="00DD1211"/>
    <w:rsid w:val="00DD426E"/>
    <w:rsid w:val="00DD49C4"/>
    <w:rsid w:val="00DD7A23"/>
    <w:rsid w:val="00DE0A4E"/>
    <w:rsid w:val="00DE3AB0"/>
    <w:rsid w:val="00DE4342"/>
    <w:rsid w:val="00DE4A82"/>
    <w:rsid w:val="00DF2567"/>
    <w:rsid w:val="00DF520E"/>
    <w:rsid w:val="00DF67C3"/>
    <w:rsid w:val="00DF6DE9"/>
    <w:rsid w:val="00E00FA9"/>
    <w:rsid w:val="00E02D0B"/>
    <w:rsid w:val="00E0355A"/>
    <w:rsid w:val="00E047A6"/>
    <w:rsid w:val="00E04C1C"/>
    <w:rsid w:val="00E04F3D"/>
    <w:rsid w:val="00E051BF"/>
    <w:rsid w:val="00E06244"/>
    <w:rsid w:val="00E102B6"/>
    <w:rsid w:val="00E11714"/>
    <w:rsid w:val="00E12594"/>
    <w:rsid w:val="00E12AD0"/>
    <w:rsid w:val="00E12D91"/>
    <w:rsid w:val="00E21703"/>
    <w:rsid w:val="00E22E16"/>
    <w:rsid w:val="00E2428E"/>
    <w:rsid w:val="00E2462C"/>
    <w:rsid w:val="00E24B31"/>
    <w:rsid w:val="00E25B74"/>
    <w:rsid w:val="00E25FFC"/>
    <w:rsid w:val="00E274B9"/>
    <w:rsid w:val="00E30F53"/>
    <w:rsid w:val="00E31053"/>
    <w:rsid w:val="00E314B0"/>
    <w:rsid w:val="00E32BB9"/>
    <w:rsid w:val="00E33C34"/>
    <w:rsid w:val="00E34AD0"/>
    <w:rsid w:val="00E34FD5"/>
    <w:rsid w:val="00E3700B"/>
    <w:rsid w:val="00E41E7C"/>
    <w:rsid w:val="00E42599"/>
    <w:rsid w:val="00E42659"/>
    <w:rsid w:val="00E42F50"/>
    <w:rsid w:val="00E43C3E"/>
    <w:rsid w:val="00E45193"/>
    <w:rsid w:val="00E45957"/>
    <w:rsid w:val="00E46A80"/>
    <w:rsid w:val="00E47764"/>
    <w:rsid w:val="00E503B0"/>
    <w:rsid w:val="00E5059A"/>
    <w:rsid w:val="00E51084"/>
    <w:rsid w:val="00E54DD0"/>
    <w:rsid w:val="00E55F29"/>
    <w:rsid w:val="00E57392"/>
    <w:rsid w:val="00E57509"/>
    <w:rsid w:val="00E63320"/>
    <w:rsid w:val="00E64B8E"/>
    <w:rsid w:val="00E67346"/>
    <w:rsid w:val="00E67934"/>
    <w:rsid w:val="00E70360"/>
    <w:rsid w:val="00E70858"/>
    <w:rsid w:val="00E71DEC"/>
    <w:rsid w:val="00E71E84"/>
    <w:rsid w:val="00E73293"/>
    <w:rsid w:val="00E741A0"/>
    <w:rsid w:val="00E74832"/>
    <w:rsid w:val="00E75300"/>
    <w:rsid w:val="00E831DF"/>
    <w:rsid w:val="00E856EA"/>
    <w:rsid w:val="00E86AA0"/>
    <w:rsid w:val="00E86E04"/>
    <w:rsid w:val="00E87594"/>
    <w:rsid w:val="00E876C2"/>
    <w:rsid w:val="00E87B09"/>
    <w:rsid w:val="00E87CA1"/>
    <w:rsid w:val="00E919EB"/>
    <w:rsid w:val="00E93240"/>
    <w:rsid w:val="00E93429"/>
    <w:rsid w:val="00E94A33"/>
    <w:rsid w:val="00E94C31"/>
    <w:rsid w:val="00E95A61"/>
    <w:rsid w:val="00E96B57"/>
    <w:rsid w:val="00E96BB0"/>
    <w:rsid w:val="00E977FD"/>
    <w:rsid w:val="00E97BC6"/>
    <w:rsid w:val="00E97C6E"/>
    <w:rsid w:val="00EA01B2"/>
    <w:rsid w:val="00EA0BDA"/>
    <w:rsid w:val="00EA3C60"/>
    <w:rsid w:val="00EA5CBB"/>
    <w:rsid w:val="00EA683C"/>
    <w:rsid w:val="00EA6BA9"/>
    <w:rsid w:val="00EA7AAB"/>
    <w:rsid w:val="00EB03C8"/>
    <w:rsid w:val="00EB23A3"/>
    <w:rsid w:val="00EB2840"/>
    <w:rsid w:val="00EB2D6E"/>
    <w:rsid w:val="00EB43D4"/>
    <w:rsid w:val="00EB48E6"/>
    <w:rsid w:val="00EB51DE"/>
    <w:rsid w:val="00EB57EE"/>
    <w:rsid w:val="00EB6390"/>
    <w:rsid w:val="00EC00AC"/>
    <w:rsid w:val="00EC0167"/>
    <w:rsid w:val="00EC29BC"/>
    <w:rsid w:val="00EC2ADA"/>
    <w:rsid w:val="00EC43C6"/>
    <w:rsid w:val="00EC5EAC"/>
    <w:rsid w:val="00EC623C"/>
    <w:rsid w:val="00EC7B3D"/>
    <w:rsid w:val="00ED07FF"/>
    <w:rsid w:val="00ED108B"/>
    <w:rsid w:val="00ED3345"/>
    <w:rsid w:val="00ED36CB"/>
    <w:rsid w:val="00ED4C24"/>
    <w:rsid w:val="00ED4C9D"/>
    <w:rsid w:val="00ED7702"/>
    <w:rsid w:val="00ED77D0"/>
    <w:rsid w:val="00EE0438"/>
    <w:rsid w:val="00EE4248"/>
    <w:rsid w:val="00EE6969"/>
    <w:rsid w:val="00EE6EDC"/>
    <w:rsid w:val="00EE7397"/>
    <w:rsid w:val="00EF01D5"/>
    <w:rsid w:val="00EF6457"/>
    <w:rsid w:val="00F00401"/>
    <w:rsid w:val="00F023B3"/>
    <w:rsid w:val="00F02413"/>
    <w:rsid w:val="00F025B9"/>
    <w:rsid w:val="00F03991"/>
    <w:rsid w:val="00F04042"/>
    <w:rsid w:val="00F049FC"/>
    <w:rsid w:val="00F0597D"/>
    <w:rsid w:val="00F11828"/>
    <w:rsid w:val="00F14964"/>
    <w:rsid w:val="00F15254"/>
    <w:rsid w:val="00F156E5"/>
    <w:rsid w:val="00F16194"/>
    <w:rsid w:val="00F178BE"/>
    <w:rsid w:val="00F20CAC"/>
    <w:rsid w:val="00F20E31"/>
    <w:rsid w:val="00F218BD"/>
    <w:rsid w:val="00F22EBD"/>
    <w:rsid w:val="00F23DCF"/>
    <w:rsid w:val="00F25133"/>
    <w:rsid w:val="00F25CB9"/>
    <w:rsid w:val="00F26E3D"/>
    <w:rsid w:val="00F2734F"/>
    <w:rsid w:val="00F27596"/>
    <w:rsid w:val="00F27E90"/>
    <w:rsid w:val="00F31507"/>
    <w:rsid w:val="00F33C6D"/>
    <w:rsid w:val="00F34BD5"/>
    <w:rsid w:val="00F34D23"/>
    <w:rsid w:val="00F35828"/>
    <w:rsid w:val="00F364F9"/>
    <w:rsid w:val="00F369BA"/>
    <w:rsid w:val="00F37171"/>
    <w:rsid w:val="00F40B21"/>
    <w:rsid w:val="00F415DE"/>
    <w:rsid w:val="00F419ED"/>
    <w:rsid w:val="00F41C33"/>
    <w:rsid w:val="00F42407"/>
    <w:rsid w:val="00F46539"/>
    <w:rsid w:val="00F47927"/>
    <w:rsid w:val="00F50D1A"/>
    <w:rsid w:val="00F51B99"/>
    <w:rsid w:val="00F537BF"/>
    <w:rsid w:val="00F53B39"/>
    <w:rsid w:val="00F54A6B"/>
    <w:rsid w:val="00F54D16"/>
    <w:rsid w:val="00F5626B"/>
    <w:rsid w:val="00F576D9"/>
    <w:rsid w:val="00F577BF"/>
    <w:rsid w:val="00F57DB4"/>
    <w:rsid w:val="00F60DA4"/>
    <w:rsid w:val="00F6108A"/>
    <w:rsid w:val="00F64F1C"/>
    <w:rsid w:val="00F65AD1"/>
    <w:rsid w:val="00F66D64"/>
    <w:rsid w:val="00F702D2"/>
    <w:rsid w:val="00F71109"/>
    <w:rsid w:val="00F71DE7"/>
    <w:rsid w:val="00F72162"/>
    <w:rsid w:val="00F747BC"/>
    <w:rsid w:val="00F753F8"/>
    <w:rsid w:val="00F7598D"/>
    <w:rsid w:val="00F761E0"/>
    <w:rsid w:val="00F76B3D"/>
    <w:rsid w:val="00F770A0"/>
    <w:rsid w:val="00F7745E"/>
    <w:rsid w:val="00F81071"/>
    <w:rsid w:val="00F821A2"/>
    <w:rsid w:val="00F8220D"/>
    <w:rsid w:val="00F833E7"/>
    <w:rsid w:val="00F83AF0"/>
    <w:rsid w:val="00F86316"/>
    <w:rsid w:val="00F8723B"/>
    <w:rsid w:val="00F87CDE"/>
    <w:rsid w:val="00F908AE"/>
    <w:rsid w:val="00F91BD7"/>
    <w:rsid w:val="00F9223B"/>
    <w:rsid w:val="00F92535"/>
    <w:rsid w:val="00F9296F"/>
    <w:rsid w:val="00F92F9F"/>
    <w:rsid w:val="00F94CED"/>
    <w:rsid w:val="00F9530C"/>
    <w:rsid w:val="00F96805"/>
    <w:rsid w:val="00F96B18"/>
    <w:rsid w:val="00FA0453"/>
    <w:rsid w:val="00FA18DF"/>
    <w:rsid w:val="00FA319A"/>
    <w:rsid w:val="00FA4784"/>
    <w:rsid w:val="00FA542A"/>
    <w:rsid w:val="00FA70F7"/>
    <w:rsid w:val="00FB06D0"/>
    <w:rsid w:val="00FB0A6A"/>
    <w:rsid w:val="00FB2EEC"/>
    <w:rsid w:val="00FB433C"/>
    <w:rsid w:val="00FB795B"/>
    <w:rsid w:val="00FC1515"/>
    <w:rsid w:val="00FC1CBB"/>
    <w:rsid w:val="00FC5443"/>
    <w:rsid w:val="00FC609D"/>
    <w:rsid w:val="00FC6E24"/>
    <w:rsid w:val="00FC7DA2"/>
    <w:rsid w:val="00FD035F"/>
    <w:rsid w:val="00FD33BF"/>
    <w:rsid w:val="00FE0261"/>
    <w:rsid w:val="00FE43A7"/>
    <w:rsid w:val="00FE587E"/>
    <w:rsid w:val="00FE7277"/>
    <w:rsid w:val="00FF0112"/>
    <w:rsid w:val="00FF02B3"/>
    <w:rsid w:val="00FF0622"/>
    <w:rsid w:val="00FF169C"/>
    <w:rsid w:val="00FF2B08"/>
    <w:rsid w:val="00FF39D8"/>
    <w:rsid w:val="00FF4C02"/>
    <w:rsid w:val="00FF4EAE"/>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3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Document Map" w:uiPriority="99"/>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CA6025"/>
    <w:pPr>
      <w:keepNext/>
      <w:tabs>
        <w:tab w:val="left" w:pos="720"/>
        <w:tab w:val="left" w:pos="864"/>
        <w:tab w:val="left" w:pos="1296"/>
        <w:tab w:val="left" w:pos="1440"/>
        <w:tab w:val="left" w:pos="2016"/>
        <w:tab w:val="left" w:pos="2304"/>
        <w:tab w:val="left" w:pos="2880"/>
        <w:tab w:val="left" w:pos="3312"/>
        <w:tab w:val="left" w:pos="3600"/>
        <w:tab w:val="left" w:pos="4752"/>
        <w:tab w:val="left" w:pos="9216"/>
      </w:tabs>
      <w:ind w:left="4752"/>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025"/>
    <w:pPr>
      <w:tabs>
        <w:tab w:val="center" w:pos="4320"/>
        <w:tab w:val="right" w:pos="8640"/>
      </w:tabs>
    </w:pPr>
    <w:rPr>
      <w:rFonts w:ascii="Bookman Old Style" w:hAnsi="Bookman Old Style"/>
      <w:szCs w:val="20"/>
    </w:rPr>
  </w:style>
  <w:style w:type="paragraph" w:styleId="BodyText">
    <w:name w:val="Body Text"/>
    <w:basedOn w:val="Normal"/>
    <w:link w:val="BodyTextChar"/>
    <w:rsid w:val="009E56FC"/>
    <w:rPr>
      <w:b/>
      <w:sz w:val="28"/>
      <w:szCs w:val="20"/>
    </w:rPr>
  </w:style>
  <w:style w:type="paragraph" w:styleId="BodyText2">
    <w:name w:val="Body Text 2"/>
    <w:basedOn w:val="Normal"/>
    <w:rsid w:val="009E56FC"/>
    <w:rPr>
      <w:szCs w:val="20"/>
    </w:rPr>
  </w:style>
  <w:style w:type="paragraph" w:styleId="NormalWeb">
    <w:name w:val="Normal (Web)"/>
    <w:basedOn w:val="Normal"/>
    <w:link w:val="NormalWebChar"/>
    <w:rsid w:val="009E56FC"/>
    <w:pPr>
      <w:overflowPunct w:val="0"/>
      <w:autoSpaceDE w:val="0"/>
      <w:autoSpaceDN w:val="0"/>
      <w:adjustRightInd w:val="0"/>
      <w:spacing w:before="100" w:after="100"/>
      <w:textAlignment w:val="baseline"/>
    </w:pPr>
    <w:rPr>
      <w:szCs w:val="20"/>
    </w:rPr>
  </w:style>
  <w:style w:type="character" w:customStyle="1" w:styleId="BodyTextChar">
    <w:name w:val="Body Text Char"/>
    <w:link w:val="BodyText"/>
    <w:rsid w:val="009E56FC"/>
    <w:rPr>
      <w:b/>
      <w:sz w:val="28"/>
      <w:lang w:val="en-US" w:eastAsia="en-US" w:bidi="ar-SA"/>
    </w:rPr>
  </w:style>
  <w:style w:type="character" w:styleId="Hyperlink">
    <w:name w:val="Hyperlink"/>
    <w:rsid w:val="009E56FC"/>
    <w:rPr>
      <w:color w:val="0000FF"/>
      <w:u w:val="single"/>
    </w:rPr>
  </w:style>
  <w:style w:type="paragraph" w:styleId="Footer">
    <w:name w:val="footer"/>
    <w:basedOn w:val="Normal"/>
    <w:rsid w:val="005A247C"/>
    <w:pPr>
      <w:tabs>
        <w:tab w:val="center" w:pos="4320"/>
        <w:tab w:val="right" w:pos="8640"/>
      </w:tabs>
    </w:pPr>
  </w:style>
  <w:style w:type="character" w:styleId="PageNumber">
    <w:name w:val="page number"/>
    <w:basedOn w:val="DefaultParagraphFont"/>
    <w:rsid w:val="005A247C"/>
  </w:style>
  <w:style w:type="paragraph" w:styleId="BalloonText">
    <w:name w:val="Balloon Text"/>
    <w:basedOn w:val="Normal"/>
    <w:semiHidden/>
    <w:rsid w:val="00EB03C8"/>
    <w:rPr>
      <w:rFonts w:ascii="Tahoma" w:hAnsi="Tahoma" w:cs="Tahoma"/>
      <w:sz w:val="16"/>
      <w:szCs w:val="16"/>
    </w:rPr>
  </w:style>
  <w:style w:type="paragraph" w:styleId="Caption">
    <w:name w:val="caption"/>
    <w:basedOn w:val="Normal"/>
    <w:next w:val="Normal"/>
    <w:semiHidden/>
    <w:unhideWhenUsed/>
    <w:qFormat/>
    <w:rsid w:val="00EB43D4"/>
    <w:rPr>
      <w:b/>
      <w:bCs/>
      <w:sz w:val="20"/>
      <w:szCs w:val="20"/>
    </w:rPr>
  </w:style>
  <w:style w:type="paragraph" w:styleId="Revision">
    <w:name w:val="Revision"/>
    <w:hidden/>
    <w:uiPriority w:val="99"/>
    <w:semiHidden/>
    <w:rsid w:val="00BD3569"/>
    <w:rPr>
      <w:sz w:val="24"/>
      <w:szCs w:val="24"/>
    </w:rPr>
  </w:style>
  <w:style w:type="paragraph" w:customStyle="1" w:styleId="Default">
    <w:name w:val="Default"/>
    <w:rsid w:val="00A27087"/>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1F1D3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F1D3A"/>
    <w:rPr>
      <w:rFonts w:ascii="Calibri" w:eastAsiaTheme="minorHAnsi" w:hAnsi="Calibri" w:cs="Consolas"/>
      <w:sz w:val="22"/>
      <w:szCs w:val="21"/>
    </w:rPr>
  </w:style>
  <w:style w:type="paragraph" w:customStyle="1" w:styleId="EBMT">
    <w:name w:val="EBMT"/>
    <w:basedOn w:val="NormalWeb"/>
    <w:link w:val="EBMTChar"/>
    <w:qFormat/>
    <w:rsid w:val="00B16FC7"/>
    <w:rPr>
      <w:sz w:val="22"/>
      <w:szCs w:val="22"/>
    </w:rPr>
  </w:style>
  <w:style w:type="character" w:customStyle="1" w:styleId="NormalWebChar">
    <w:name w:val="Normal (Web) Char"/>
    <w:basedOn w:val="DefaultParagraphFont"/>
    <w:link w:val="NormalWeb"/>
    <w:rsid w:val="00B16FC7"/>
    <w:rPr>
      <w:sz w:val="24"/>
    </w:rPr>
  </w:style>
  <w:style w:type="character" w:customStyle="1" w:styleId="EBMTChar">
    <w:name w:val="EBMT Char"/>
    <w:basedOn w:val="NormalWebChar"/>
    <w:link w:val="EBMT"/>
    <w:rsid w:val="00B16FC7"/>
    <w:rPr>
      <w:sz w:val="22"/>
      <w:szCs w:val="22"/>
    </w:rPr>
  </w:style>
  <w:style w:type="paragraph" w:styleId="DocumentMap">
    <w:name w:val="Document Map"/>
    <w:basedOn w:val="Normal"/>
    <w:link w:val="DocumentMapChar"/>
    <w:uiPriority w:val="99"/>
    <w:rsid w:val="005D12FA"/>
    <w:pPr>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5D12FA"/>
    <w:rPr>
      <w:rFonts w:ascii="Tahoma" w:hAnsi="Tahoma"/>
      <w:sz w:val="24"/>
      <w:shd w:val="clear" w:color="auto" w:fill="000080"/>
    </w:rPr>
  </w:style>
  <w:style w:type="paragraph" w:styleId="ListParagraph">
    <w:name w:val="List Paragraph"/>
    <w:basedOn w:val="Normal"/>
    <w:uiPriority w:val="34"/>
    <w:qFormat/>
    <w:rsid w:val="009A27C6"/>
    <w:pPr>
      <w:ind w:left="720"/>
      <w:contextualSpacing/>
    </w:pPr>
  </w:style>
  <w:style w:type="character" w:styleId="CommentReference">
    <w:name w:val="annotation reference"/>
    <w:basedOn w:val="DefaultParagraphFont"/>
    <w:semiHidden/>
    <w:unhideWhenUsed/>
    <w:rsid w:val="000A6229"/>
    <w:rPr>
      <w:sz w:val="16"/>
      <w:szCs w:val="16"/>
    </w:rPr>
  </w:style>
  <w:style w:type="paragraph" w:styleId="CommentText">
    <w:name w:val="annotation text"/>
    <w:basedOn w:val="Normal"/>
    <w:link w:val="CommentTextChar"/>
    <w:semiHidden/>
    <w:unhideWhenUsed/>
    <w:rsid w:val="000A6229"/>
    <w:rPr>
      <w:sz w:val="20"/>
      <w:szCs w:val="20"/>
    </w:rPr>
  </w:style>
  <w:style w:type="character" w:customStyle="1" w:styleId="CommentTextChar">
    <w:name w:val="Comment Text Char"/>
    <w:basedOn w:val="DefaultParagraphFont"/>
    <w:link w:val="CommentText"/>
    <w:semiHidden/>
    <w:rsid w:val="000A6229"/>
  </w:style>
  <w:style w:type="paragraph" w:styleId="CommentSubject">
    <w:name w:val="annotation subject"/>
    <w:basedOn w:val="CommentText"/>
    <w:next w:val="CommentText"/>
    <w:link w:val="CommentSubjectChar"/>
    <w:semiHidden/>
    <w:unhideWhenUsed/>
    <w:rsid w:val="000A6229"/>
    <w:rPr>
      <w:b/>
      <w:bCs/>
    </w:rPr>
  </w:style>
  <w:style w:type="character" w:customStyle="1" w:styleId="CommentSubjectChar">
    <w:name w:val="Comment Subject Char"/>
    <w:basedOn w:val="CommentTextChar"/>
    <w:link w:val="CommentSubject"/>
    <w:semiHidden/>
    <w:rsid w:val="000A6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Document Map" w:uiPriority="99"/>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CA6025"/>
    <w:pPr>
      <w:keepNext/>
      <w:tabs>
        <w:tab w:val="left" w:pos="720"/>
        <w:tab w:val="left" w:pos="864"/>
        <w:tab w:val="left" w:pos="1296"/>
        <w:tab w:val="left" w:pos="1440"/>
        <w:tab w:val="left" w:pos="2016"/>
        <w:tab w:val="left" w:pos="2304"/>
        <w:tab w:val="left" w:pos="2880"/>
        <w:tab w:val="left" w:pos="3312"/>
        <w:tab w:val="left" w:pos="3600"/>
        <w:tab w:val="left" w:pos="4752"/>
        <w:tab w:val="left" w:pos="9216"/>
      </w:tabs>
      <w:ind w:left="4752"/>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025"/>
    <w:pPr>
      <w:tabs>
        <w:tab w:val="center" w:pos="4320"/>
        <w:tab w:val="right" w:pos="8640"/>
      </w:tabs>
    </w:pPr>
    <w:rPr>
      <w:rFonts w:ascii="Bookman Old Style" w:hAnsi="Bookman Old Style"/>
      <w:szCs w:val="20"/>
    </w:rPr>
  </w:style>
  <w:style w:type="paragraph" w:styleId="BodyText">
    <w:name w:val="Body Text"/>
    <w:basedOn w:val="Normal"/>
    <w:link w:val="BodyTextChar"/>
    <w:rsid w:val="009E56FC"/>
    <w:rPr>
      <w:b/>
      <w:sz w:val="28"/>
      <w:szCs w:val="20"/>
    </w:rPr>
  </w:style>
  <w:style w:type="paragraph" w:styleId="BodyText2">
    <w:name w:val="Body Text 2"/>
    <w:basedOn w:val="Normal"/>
    <w:rsid w:val="009E56FC"/>
    <w:rPr>
      <w:szCs w:val="20"/>
    </w:rPr>
  </w:style>
  <w:style w:type="paragraph" w:styleId="NormalWeb">
    <w:name w:val="Normal (Web)"/>
    <w:basedOn w:val="Normal"/>
    <w:link w:val="NormalWebChar"/>
    <w:rsid w:val="009E56FC"/>
    <w:pPr>
      <w:overflowPunct w:val="0"/>
      <w:autoSpaceDE w:val="0"/>
      <w:autoSpaceDN w:val="0"/>
      <w:adjustRightInd w:val="0"/>
      <w:spacing w:before="100" w:after="100"/>
      <w:textAlignment w:val="baseline"/>
    </w:pPr>
    <w:rPr>
      <w:szCs w:val="20"/>
    </w:rPr>
  </w:style>
  <w:style w:type="character" w:customStyle="1" w:styleId="BodyTextChar">
    <w:name w:val="Body Text Char"/>
    <w:link w:val="BodyText"/>
    <w:rsid w:val="009E56FC"/>
    <w:rPr>
      <w:b/>
      <w:sz w:val="28"/>
      <w:lang w:val="en-US" w:eastAsia="en-US" w:bidi="ar-SA"/>
    </w:rPr>
  </w:style>
  <w:style w:type="character" w:styleId="Hyperlink">
    <w:name w:val="Hyperlink"/>
    <w:rsid w:val="009E56FC"/>
    <w:rPr>
      <w:color w:val="0000FF"/>
      <w:u w:val="single"/>
    </w:rPr>
  </w:style>
  <w:style w:type="paragraph" w:styleId="Footer">
    <w:name w:val="footer"/>
    <w:basedOn w:val="Normal"/>
    <w:rsid w:val="005A247C"/>
    <w:pPr>
      <w:tabs>
        <w:tab w:val="center" w:pos="4320"/>
        <w:tab w:val="right" w:pos="8640"/>
      </w:tabs>
    </w:pPr>
  </w:style>
  <w:style w:type="character" w:styleId="PageNumber">
    <w:name w:val="page number"/>
    <w:basedOn w:val="DefaultParagraphFont"/>
    <w:rsid w:val="005A247C"/>
  </w:style>
  <w:style w:type="paragraph" w:styleId="BalloonText">
    <w:name w:val="Balloon Text"/>
    <w:basedOn w:val="Normal"/>
    <w:semiHidden/>
    <w:rsid w:val="00EB03C8"/>
    <w:rPr>
      <w:rFonts w:ascii="Tahoma" w:hAnsi="Tahoma" w:cs="Tahoma"/>
      <w:sz w:val="16"/>
      <w:szCs w:val="16"/>
    </w:rPr>
  </w:style>
  <w:style w:type="paragraph" w:styleId="Caption">
    <w:name w:val="caption"/>
    <w:basedOn w:val="Normal"/>
    <w:next w:val="Normal"/>
    <w:semiHidden/>
    <w:unhideWhenUsed/>
    <w:qFormat/>
    <w:rsid w:val="00EB43D4"/>
    <w:rPr>
      <w:b/>
      <w:bCs/>
      <w:sz w:val="20"/>
      <w:szCs w:val="20"/>
    </w:rPr>
  </w:style>
  <w:style w:type="paragraph" w:styleId="Revision">
    <w:name w:val="Revision"/>
    <w:hidden/>
    <w:uiPriority w:val="99"/>
    <w:semiHidden/>
    <w:rsid w:val="00BD3569"/>
    <w:rPr>
      <w:sz w:val="24"/>
      <w:szCs w:val="24"/>
    </w:rPr>
  </w:style>
  <w:style w:type="paragraph" w:customStyle="1" w:styleId="Default">
    <w:name w:val="Default"/>
    <w:rsid w:val="00A27087"/>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1F1D3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F1D3A"/>
    <w:rPr>
      <w:rFonts w:ascii="Calibri" w:eastAsiaTheme="minorHAnsi" w:hAnsi="Calibri" w:cs="Consolas"/>
      <w:sz w:val="22"/>
      <w:szCs w:val="21"/>
    </w:rPr>
  </w:style>
  <w:style w:type="paragraph" w:customStyle="1" w:styleId="EBMT">
    <w:name w:val="EBMT"/>
    <w:basedOn w:val="NormalWeb"/>
    <w:link w:val="EBMTChar"/>
    <w:qFormat/>
    <w:rsid w:val="00B16FC7"/>
    <w:rPr>
      <w:sz w:val="22"/>
      <w:szCs w:val="22"/>
    </w:rPr>
  </w:style>
  <w:style w:type="character" w:customStyle="1" w:styleId="NormalWebChar">
    <w:name w:val="Normal (Web) Char"/>
    <w:basedOn w:val="DefaultParagraphFont"/>
    <w:link w:val="NormalWeb"/>
    <w:rsid w:val="00B16FC7"/>
    <w:rPr>
      <w:sz w:val="24"/>
    </w:rPr>
  </w:style>
  <w:style w:type="character" w:customStyle="1" w:styleId="EBMTChar">
    <w:name w:val="EBMT Char"/>
    <w:basedOn w:val="NormalWebChar"/>
    <w:link w:val="EBMT"/>
    <w:rsid w:val="00B16FC7"/>
    <w:rPr>
      <w:sz w:val="22"/>
      <w:szCs w:val="22"/>
    </w:rPr>
  </w:style>
  <w:style w:type="paragraph" w:styleId="DocumentMap">
    <w:name w:val="Document Map"/>
    <w:basedOn w:val="Normal"/>
    <w:link w:val="DocumentMapChar"/>
    <w:uiPriority w:val="99"/>
    <w:rsid w:val="005D12FA"/>
    <w:pPr>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5D12FA"/>
    <w:rPr>
      <w:rFonts w:ascii="Tahoma" w:hAnsi="Tahoma"/>
      <w:sz w:val="24"/>
      <w:shd w:val="clear" w:color="auto" w:fill="000080"/>
    </w:rPr>
  </w:style>
  <w:style w:type="paragraph" w:styleId="ListParagraph">
    <w:name w:val="List Paragraph"/>
    <w:basedOn w:val="Normal"/>
    <w:uiPriority w:val="34"/>
    <w:qFormat/>
    <w:rsid w:val="009A27C6"/>
    <w:pPr>
      <w:ind w:left="720"/>
      <w:contextualSpacing/>
    </w:pPr>
  </w:style>
  <w:style w:type="character" w:styleId="CommentReference">
    <w:name w:val="annotation reference"/>
    <w:basedOn w:val="DefaultParagraphFont"/>
    <w:semiHidden/>
    <w:unhideWhenUsed/>
    <w:rsid w:val="000A6229"/>
    <w:rPr>
      <w:sz w:val="16"/>
      <w:szCs w:val="16"/>
    </w:rPr>
  </w:style>
  <w:style w:type="paragraph" w:styleId="CommentText">
    <w:name w:val="annotation text"/>
    <w:basedOn w:val="Normal"/>
    <w:link w:val="CommentTextChar"/>
    <w:semiHidden/>
    <w:unhideWhenUsed/>
    <w:rsid w:val="000A6229"/>
    <w:rPr>
      <w:sz w:val="20"/>
      <w:szCs w:val="20"/>
    </w:rPr>
  </w:style>
  <w:style w:type="character" w:customStyle="1" w:styleId="CommentTextChar">
    <w:name w:val="Comment Text Char"/>
    <w:basedOn w:val="DefaultParagraphFont"/>
    <w:link w:val="CommentText"/>
    <w:semiHidden/>
    <w:rsid w:val="000A6229"/>
  </w:style>
  <w:style w:type="paragraph" w:styleId="CommentSubject">
    <w:name w:val="annotation subject"/>
    <w:basedOn w:val="CommentText"/>
    <w:next w:val="CommentText"/>
    <w:link w:val="CommentSubjectChar"/>
    <w:semiHidden/>
    <w:unhideWhenUsed/>
    <w:rsid w:val="000A6229"/>
    <w:rPr>
      <w:b/>
      <w:bCs/>
    </w:rPr>
  </w:style>
  <w:style w:type="character" w:customStyle="1" w:styleId="CommentSubjectChar">
    <w:name w:val="Comment Subject Char"/>
    <w:basedOn w:val="CommentTextChar"/>
    <w:link w:val="CommentSubject"/>
    <w:semiHidden/>
    <w:rsid w:val="000A6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222">
      <w:bodyDiv w:val="1"/>
      <w:marLeft w:val="0"/>
      <w:marRight w:val="0"/>
      <w:marTop w:val="0"/>
      <w:marBottom w:val="0"/>
      <w:divBdr>
        <w:top w:val="none" w:sz="0" w:space="0" w:color="auto"/>
        <w:left w:val="none" w:sz="0" w:space="0" w:color="auto"/>
        <w:bottom w:val="none" w:sz="0" w:space="0" w:color="auto"/>
        <w:right w:val="none" w:sz="0" w:space="0" w:color="auto"/>
      </w:divBdr>
    </w:div>
    <w:div w:id="79644320">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
    <w:div w:id="421099386">
      <w:bodyDiv w:val="1"/>
      <w:marLeft w:val="0"/>
      <w:marRight w:val="0"/>
      <w:marTop w:val="0"/>
      <w:marBottom w:val="0"/>
      <w:divBdr>
        <w:top w:val="none" w:sz="0" w:space="0" w:color="auto"/>
        <w:left w:val="none" w:sz="0" w:space="0" w:color="auto"/>
        <w:bottom w:val="none" w:sz="0" w:space="0" w:color="auto"/>
        <w:right w:val="none" w:sz="0" w:space="0" w:color="auto"/>
      </w:divBdr>
    </w:div>
    <w:div w:id="436681844">
      <w:bodyDiv w:val="1"/>
      <w:marLeft w:val="0"/>
      <w:marRight w:val="0"/>
      <w:marTop w:val="0"/>
      <w:marBottom w:val="0"/>
      <w:divBdr>
        <w:top w:val="none" w:sz="0" w:space="0" w:color="auto"/>
        <w:left w:val="none" w:sz="0" w:space="0" w:color="auto"/>
        <w:bottom w:val="none" w:sz="0" w:space="0" w:color="auto"/>
        <w:right w:val="none" w:sz="0" w:space="0" w:color="auto"/>
      </w:divBdr>
    </w:div>
    <w:div w:id="473567138">
      <w:bodyDiv w:val="1"/>
      <w:marLeft w:val="0"/>
      <w:marRight w:val="0"/>
      <w:marTop w:val="0"/>
      <w:marBottom w:val="0"/>
      <w:divBdr>
        <w:top w:val="none" w:sz="0" w:space="0" w:color="auto"/>
        <w:left w:val="none" w:sz="0" w:space="0" w:color="auto"/>
        <w:bottom w:val="none" w:sz="0" w:space="0" w:color="auto"/>
        <w:right w:val="none" w:sz="0" w:space="0" w:color="auto"/>
      </w:divBdr>
    </w:div>
    <w:div w:id="573050963">
      <w:bodyDiv w:val="1"/>
      <w:marLeft w:val="0"/>
      <w:marRight w:val="0"/>
      <w:marTop w:val="0"/>
      <w:marBottom w:val="0"/>
      <w:divBdr>
        <w:top w:val="none" w:sz="0" w:space="0" w:color="auto"/>
        <w:left w:val="none" w:sz="0" w:space="0" w:color="auto"/>
        <w:bottom w:val="none" w:sz="0" w:space="0" w:color="auto"/>
        <w:right w:val="none" w:sz="0" w:space="0" w:color="auto"/>
      </w:divBdr>
    </w:div>
    <w:div w:id="607007593">
      <w:bodyDiv w:val="1"/>
      <w:marLeft w:val="0"/>
      <w:marRight w:val="0"/>
      <w:marTop w:val="0"/>
      <w:marBottom w:val="0"/>
      <w:divBdr>
        <w:top w:val="none" w:sz="0" w:space="0" w:color="auto"/>
        <w:left w:val="none" w:sz="0" w:space="0" w:color="auto"/>
        <w:bottom w:val="none" w:sz="0" w:space="0" w:color="auto"/>
        <w:right w:val="none" w:sz="0" w:space="0" w:color="auto"/>
      </w:divBdr>
    </w:div>
    <w:div w:id="730495261">
      <w:bodyDiv w:val="1"/>
      <w:marLeft w:val="0"/>
      <w:marRight w:val="0"/>
      <w:marTop w:val="0"/>
      <w:marBottom w:val="0"/>
      <w:divBdr>
        <w:top w:val="none" w:sz="0" w:space="0" w:color="auto"/>
        <w:left w:val="none" w:sz="0" w:space="0" w:color="auto"/>
        <w:bottom w:val="none" w:sz="0" w:space="0" w:color="auto"/>
        <w:right w:val="none" w:sz="0" w:space="0" w:color="auto"/>
      </w:divBdr>
    </w:div>
    <w:div w:id="743572598">
      <w:bodyDiv w:val="1"/>
      <w:marLeft w:val="0"/>
      <w:marRight w:val="0"/>
      <w:marTop w:val="0"/>
      <w:marBottom w:val="0"/>
      <w:divBdr>
        <w:top w:val="none" w:sz="0" w:space="0" w:color="auto"/>
        <w:left w:val="none" w:sz="0" w:space="0" w:color="auto"/>
        <w:bottom w:val="none" w:sz="0" w:space="0" w:color="auto"/>
        <w:right w:val="none" w:sz="0" w:space="0" w:color="auto"/>
      </w:divBdr>
    </w:div>
    <w:div w:id="785077456">
      <w:bodyDiv w:val="1"/>
      <w:marLeft w:val="0"/>
      <w:marRight w:val="0"/>
      <w:marTop w:val="0"/>
      <w:marBottom w:val="0"/>
      <w:divBdr>
        <w:top w:val="none" w:sz="0" w:space="0" w:color="auto"/>
        <w:left w:val="none" w:sz="0" w:space="0" w:color="auto"/>
        <w:bottom w:val="none" w:sz="0" w:space="0" w:color="auto"/>
        <w:right w:val="none" w:sz="0" w:space="0" w:color="auto"/>
      </w:divBdr>
    </w:div>
    <w:div w:id="904876985">
      <w:bodyDiv w:val="1"/>
      <w:marLeft w:val="0"/>
      <w:marRight w:val="0"/>
      <w:marTop w:val="0"/>
      <w:marBottom w:val="0"/>
      <w:divBdr>
        <w:top w:val="none" w:sz="0" w:space="0" w:color="auto"/>
        <w:left w:val="none" w:sz="0" w:space="0" w:color="auto"/>
        <w:bottom w:val="none" w:sz="0" w:space="0" w:color="auto"/>
        <w:right w:val="none" w:sz="0" w:space="0" w:color="auto"/>
      </w:divBdr>
    </w:div>
    <w:div w:id="984745929">
      <w:bodyDiv w:val="1"/>
      <w:marLeft w:val="0"/>
      <w:marRight w:val="0"/>
      <w:marTop w:val="0"/>
      <w:marBottom w:val="0"/>
      <w:divBdr>
        <w:top w:val="none" w:sz="0" w:space="0" w:color="auto"/>
        <w:left w:val="none" w:sz="0" w:space="0" w:color="auto"/>
        <w:bottom w:val="none" w:sz="0" w:space="0" w:color="auto"/>
        <w:right w:val="none" w:sz="0" w:space="0" w:color="auto"/>
      </w:divBdr>
    </w:div>
    <w:div w:id="1077049310">
      <w:bodyDiv w:val="1"/>
      <w:marLeft w:val="0"/>
      <w:marRight w:val="0"/>
      <w:marTop w:val="0"/>
      <w:marBottom w:val="0"/>
      <w:divBdr>
        <w:top w:val="none" w:sz="0" w:space="0" w:color="auto"/>
        <w:left w:val="none" w:sz="0" w:space="0" w:color="auto"/>
        <w:bottom w:val="none" w:sz="0" w:space="0" w:color="auto"/>
        <w:right w:val="none" w:sz="0" w:space="0" w:color="auto"/>
      </w:divBdr>
    </w:div>
    <w:div w:id="1107502771">
      <w:bodyDiv w:val="1"/>
      <w:marLeft w:val="0"/>
      <w:marRight w:val="0"/>
      <w:marTop w:val="0"/>
      <w:marBottom w:val="0"/>
      <w:divBdr>
        <w:top w:val="none" w:sz="0" w:space="0" w:color="auto"/>
        <w:left w:val="none" w:sz="0" w:space="0" w:color="auto"/>
        <w:bottom w:val="none" w:sz="0" w:space="0" w:color="auto"/>
        <w:right w:val="none" w:sz="0" w:space="0" w:color="auto"/>
      </w:divBdr>
    </w:div>
    <w:div w:id="1192761997">
      <w:bodyDiv w:val="1"/>
      <w:marLeft w:val="0"/>
      <w:marRight w:val="0"/>
      <w:marTop w:val="0"/>
      <w:marBottom w:val="0"/>
      <w:divBdr>
        <w:top w:val="none" w:sz="0" w:space="0" w:color="auto"/>
        <w:left w:val="none" w:sz="0" w:space="0" w:color="auto"/>
        <w:bottom w:val="none" w:sz="0" w:space="0" w:color="auto"/>
        <w:right w:val="none" w:sz="0" w:space="0" w:color="auto"/>
      </w:divBdr>
    </w:div>
    <w:div w:id="1256749460">
      <w:bodyDiv w:val="1"/>
      <w:marLeft w:val="0"/>
      <w:marRight w:val="0"/>
      <w:marTop w:val="0"/>
      <w:marBottom w:val="0"/>
      <w:divBdr>
        <w:top w:val="none" w:sz="0" w:space="0" w:color="auto"/>
        <w:left w:val="none" w:sz="0" w:space="0" w:color="auto"/>
        <w:bottom w:val="none" w:sz="0" w:space="0" w:color="auto"/>
        <w:right w:val="none" w:sz="0" w:space="0" w:color="auto"/>
      </w:divBdr>
    </w:div>
    <w:div w:id="1351450620">
      <w:bodyDiv w:val="1"/>
      <w:marLeft w:val="0"/>
      <w:marRight w:val="0"/>
      <w:marTop w:val="0"/>
      <w:marBottom w:val="0"/>
      <w:divBdr>
        <w:top w:val="none" w:sz="0" w:space="0" w:color="auto"/>
        <w:left w:val="none" w:sz="0" w:space="0" w:color="auto"/>
        <w:bottom w:val="none" w:sz="0" w:space="0" w:color="auto"/>
        <w:right w:val="none" w:sz="0" w:space="0" w:color="auto"/>
      </w:divBdr>
    </w:div>
    <w:div w:id="1400976926">
      <w:bodyDiv w:val="1"/>
      <w:marLeft w:val="0"/>
      <w:marRight w:val="0"/>
      <w:marTop w:val="0"/>
      <w:marBottom w:val="0"/>
      <w:divBdr>
        <w:top w:val="none" w:sz="0" w:space="0" w:color="auto"/>
        <w:left w:val="none" w:sz="0" w:space="0" w:color="auto"/>
        <w:bottom w:val="none" w:sz="0" w:space="0" w:color="auto"/>
        <w:right w:val="none" w:sz="0" w:space="0" w:color="auto"/>
      </w:divBdr>
    </w:div>
    <w:div w:id="1506357237">
      <w:bodyDiv w:val="1"/>
      <w:marLeft w:val="0"/>
      <w:marRight w:val="0"/>
      <w:marTop w:val="0"/>
      <w:marBottom w:val="0"/>
      <w:divBdr>
        <w:top w:val="none" w:sz="0" w:space="0" w:color="auto"/>
        <w:left w:val="none" w:sz="0" w:space="0" w:color="auto"/>
        <w:bottom w:val="none" w:sz="0" w:space="0" w:color="auto"/>
        <w:right w:val="none" w:sz="0" w:space="0" w:color="auto"/>
      </w:divBdr>
      <w:divsChild>
        <w:div w:id="1022971927">
          <w:marLeft w:val="0"/>
          <w:marRight w:val="0"/>
          <w:marTop w:val="240"/>
          <w:marBottom w:val="120"/>
          <w:divBdr>
            <w:top w:val="none" w:sz="0" w:space="0" w:color="auto"/>
            <w:left w:val="none" w:sz="0" w:space="0" w:color="auto"/>
            <w:bottom w:val="single" w:sz="8" w:space="0" w:color="000000"/>
            <w:right w:val="none" w:sz="0" w:space="0" w:color="auto"/>
          </w:divBdr>
        </w:div>
        <w:div w:id="317149746">
          <w:marLeft w:val="0"/>
          <w:marRight w:val="0"/>
          <w:marTop w:val="120"/>
          <w:marBottom w:val="240"/>
          <w:divBdr>
            <w:top w:val="none" w:sz="0" w:space="0" w:color="auto"/>
            <w:left w:val="none" w:sz="0" w:space="0" w:color="auto"/>
            <w:bottom w:val="none" w:sz="0" w:space="0" w:color="auto"/>
            <w:right w:val="none" w:sz="0" w:space="0" w:color="auto"/>
          </w:divBdr>
        </w:div>
      </w:divsChild>
    </w:div>
    <w:div w:id="1546720974">
      <w:bodyDiv w:val="1"/>
      <w:marLeft w:val="0"/>
      <w:marRight w:val="0"/>
      <w:marTop w:val="0"/>
      <w:marBottom w:val="0"/>
      <w:divBdr>
        <w:top w:val="none" w:sz="0" w:space="0" w:color="auto"/>
        <w:left w:val="none" w:sz="0" w:space="0" w:color="auto"/>
        <w:bottom w:val="none" w:sz="0" w:space="0" w:color="auto"/>
        <w:right w:val="none" w:sz="0" w:space="0" w:color="auto"/>
      </w:divBdr>
    </w:div>
    <w:div w:id="1565607061">
      <w:bodyDiv w:val="1"/>
      <w:marLeft w:val="0"/>
      <w:marRight w:val="0"/>
      <w:marTop w:val="0"/>
      <w:marBottom w:val="0"/>
      <w:divBdr>
        <w:top w:val="none" w:sz="0" w:space="0" w:color="auto"/>
        <w:left w:val="none" w:sz="0" w:space="0" w:color="auto"/>
        <w:bottom w:val="none" w:sz="0" w:space="0" w:color="auto"/>
        <w:right w:val="none" w:sz="0" w:space="0" w:color="auto"/>
      </w:divBdr>
    </w:div>
    <w:div w:id="1604649293">
      <w:bodyDiv w:val="1"/>
      <w:marLeft w:val="0"/>
      <w:marRight w:val="0"/>
      <w:marTop w:val="0"/>
      <w:marBottom w:val="0"/>
      <w:divBdr>
        <w:top w:val="none" w:sz="0" w:space="0" w:color="auto"/>
        <w:left w:val="none" w:sz="0" w:space="0" w:color="auto"/>
        <w:bottom w:val="none" w:sz="0" w:space="0" w:color="auto"/>
        <w:right w:val="none" w:sz="0" w:space="0" w:color="auto"/>
      </w:divBdr>
    </w:div>
    <w:div w:id="1655986643">
      <w:bodyDiv w:val="1"/>
      <w:marLeft w:val="0"/>
      <w:marRight w:val="0"/>
      <w:marTop w:val="0"/>
      <w:marBottom w:val="0"/>
      <w:divBdr>
        <w:top w:val="none" w:sz="0" w:space="0" w:color="auto"/>
        <w:left w:val="none" w:sz="0" w:space="0" w:color="auto"/>
        <w:bottom w:val="none" w:sz="0" w:space="0" w:color="auto"/>
        <w:right w:val="none" w:sz="0" w:space="0" w:color="auto"/>
      </w:divBdr>
    </w:div>
    <w:div w:id="1875190325">
      <w:bodyDiv w:val="1"/>
      <w:marLeft w:val="0"/>
      <w:marRight w:val="0"/>
      <w:marTop w:val="0"/>
      <w:marBottom w:val="0"/>
      <w:divBdr>
        <w:top w:val="none" w:sz="0" w:space="0" w:color="auto"/>
        <w:left w:val="none" w:sz="0" w:space="0" w:color="auto"/>
        <w:bottom w:val="none" w:sz="0" w:space="0" w:color="auto"/>
        <w:right w:val="none" w:sz="0" w:space="0" w:color="auto"/>
      </w:divBdr>
    </w:div>
    <w:div w:id="2036152948">
      <w:bodyDiv w:val="1"/>
      <w:marLeft w:val="0"/>
      <w:marRight w:val="0"/>
      <w:marTop w:val="0"/>
      <w:marBottom w:val="0"/>
      <w:divBdr>
        <w:top w:val="none" w:sz="0" w:space="0" w:color="auto"/>
        <w:left w:val="none" w:sz="0" w:space="0" w:color="auto"/>
        <w:bottom w:val="none" w:sz="0" w:space="0" w:color="auto"/>
        <w:right w:val="none" w:sz="0" w:space="0" w:color="auto"/>
      </w:divBdr>
    </w:div>
    <w:div w:id="2080207340">
      <w:bodyDiv w:val="1"/>
      <w:marLeft w:val="0"/>
      <w:marRight w:val="0"/>
      <w:marTop w:val="0"/>
      <w:marBottom w:val="0"/>
      <w:divBdr>
        <w:top w:val="none" w:sz="0" w:space="0" w:color="auto"/>
        <w:left w:val="none" w:sz="0" w:space="0" w:color="auto"/>
        <w:bottom w:val="none" w:sz="0" w:space="0" w:color="auto"/>
        <w:right w:val="none" w:sz="0" w:space="0" w:color="auto"/>
      </w:divBdr>
    </w:div>
    <w:div w:id="21285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portunitybank.com"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4CB4-D171-4316-A0AB-6DF569B2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American Federal Savings Bank</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Fitzgibbons</dc:creator>
  <cp:lastModifiedBy>Pete Johnson</cp:lastModifiedBy>
  <cp:revision>2</cp:revision>
  <cp:lastPrinted>2016-10-17T14:50:00Z</cp:lastPrinted>
  <dcterms:created xsi:type="dcterms:W3CDTF">2018-01-29T17:10:00Z</dcterms:created>
  <dcterms:modified xsi:type="dcterms:W3CDTF">2018-01-29T17:10:00Z</dcterms:modified>
</cp:coreProperties>
</file>